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E4" w:rsidRDefault="00F979E4" w:rsidP="00F979E4">
      <w:pPr>
        <w:pStyle w:val="Heading1"/>
        <w:numPr>
          <w:ilvl w:val="0"/>
          <w:numId w:val="0"/>
        </w:numPr>
        <w:ind w:left="432"/>
        <w:sectPr w:rsidR="00F979E4" w:rsidSect="00F979E4">
          <w:headerReference w:type="default" r:id="rId7"/>
          <w:footerReference w:type="default" r:id="rId8"/>
          <w:pgSz w:w="12240" w:h="15840"/>
          <w:pgMar w:top="1440" w:right="1440" w:bottom="1440" w:left="1440" w:header="720" w:footer="720" w:gutter="0"/>
          <w:cols w:space="720"/>
          <w:titlePg/>
          <w:docGrid w:linePitch="360"/>
        </w:sectPr>
      </w:pPr>
      <w:bookmarkStart w:id="0" w:name="_Toc450657409"/>
      <w:bookmarkStart w:id="1" w:name="_Toc460309636"/>
      <w:bookmarkStart w:id="2" w:name="_GoBack"/>
      <w:bookmarkEnd w:id="2"/>
      <w:r>
        <w:rPr>
          <w:noProof/>
        </w:rPr>
        <w:drawing>
          <wp:anchor distT="0" distB="0" distL="114300" distR="114300" simplePos="0" relativeHeight="251661312" behindDoc="0" locked="0" layoutInCell="1" allowOverlap="1" wp14:anchorId="732C92D2" wp14:editId="10096858">
            <wp:simplePos x="0" y="0"/>
            <wp:positionH relativeFrom="margin">
              <wp:posOffset>-391885</wp:posOffset>
            </wp:positionH>
            <wp:positionV relativeFrom="margin">
              <wp:posOffset>-451238</wp:posOffset>
            </wp:positionV>
            <wp:extent cx="6903085" cy="8933180"/>
            <wp:effectExtent l="0" t="0" r="0" b="127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Design-Build Manual Flysheets6.jpg"/>
                    <pic:cNvPicPr/>
                  </pic:nvPicPr>
                  <pic:blipFill>
                    <a:blip r:embed="rId9">
                      <a:extLst>
                        <a:ext uri="{28A0092B-C50C-407E-A947-70E740481C1C}">
                          <a14:useLocalDpi xmlns:a14="http://schemas.microsoft.com/office/drawing/2010/main" val="0"/>
                        </a:ext>
                      </a:extLst>
                    </a:blip>
                    <a:stretch>
                      <a:fillRect/>
                    </a:stretch>
                  </pic:blipFill>
                  <pic:spPr>
                    <a:xfrm>
                      <a:off x="0" y="0"/>
                      <a:ext cx="6903085" cy="8933180"/>
                    </a:xfrm>
                    <a:prstGeom prst="rect">
                      <a:avLst/>
                    </a:prstGeom>
                  </pic:spPr>
                </pic:pic>
              </a:graphicData>
            </a:graphic>
            <wp14:sizeRelH relativeFrom="margin">
              <wp14:pctWidth>0</wp14:pctWidth>
            </wp14:sizeRelH>
            <wp14:sizeRelV relativeFrom="margin">
              <wp14:pctHeight>0</wp14:pctHeight>
            </wp14:sizeRelV>
          </wp:anchor>
        </w:drawing>
      </w:r>
    </w:p>
    <w:p w:rsidR="00811B39" w:rsidRDefault="00811B39" w:rsidP="00811B39">
      <w:pPr>
        <w:pStyle w:val="Heading1"/>
      </w:pPr>
      <w:r>
        <w:lastRenderedPageBreak/>
        <w:t>Evaluation of Statements of Qualifications and Proposals</w:t>
      </w:r>
      <w:bookmarkEnd w:id="0"/>
      <w:bookmarkEnd w:id="1"/>
    </w:p>
    <w:p w:rsidR="00811B39" w:rsidRDefault="00811B39" w:rsidP="00811B39">
      <w:pPr>
        <w:spacing w:line="276" w:lineRule="auto"/>
      </w:pPr>
      <w:r>
        <w:t>Design-Build procurement evaluation procedures are unique to the delivery method.  The extensive nature of the Design-Build procurement process warrants rigorous and defensible processes be executed for both the short-listing of qualified Design-Builders and the ultimate selection of a single Design-Build entity to perform the project.  The Statement of Qualifications (</w:t>
      </w:r>
      <w:proofErr w:type="spellStart"/>
      <w:r>
        <w:t>SOQ</w:t>
      </w:r>
      <w:proofErr w:type="spellEnd"/>
      <w:r>
        <w:t xml:space="preserve">) evaluation procedure and the Proposal evaluation procedure are summarized in Figure 6-1 below.  A formal project-specific written evaluation procedure plan is developed for both the </w:t>
      </w:r>
      <w:proofErr w:type="spellStart"/>
      <w:r>
        <w:t>SOQ</w:t>
      </w:r>
      <w:proofErr w:type="spellEnd"/>
      <w:r>
        <w:t xml:space="preserve"> evaluation and the Proposal evaluation.  Both plans should be approved by the Executive Oversight Committee (</w:t>
      </w:r>
      <w:proofErr w:type="spellStart"/>
      <w:r>
        <w:t>EOC</w:t>
      </w:r>
      <w:proofErr w:type="spellEnd"/>
      <w:r>
        <w:t>) before the evaluations begin.</w:t>
      </w:r>
      <w:r w:rsidRPr="001701E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11B39" w:rsidRPr="00EA34D0" w:rsidRDefault="00811B39" w:rsidP="00811B39">
      <w:pPr>
        <w:spacing w:line="276" w:lineRule="auto"/>
      </w:pPr>
      <w:proofErr w:type="spellStart"/>
      <w:r>
        <w:t>SOQ</w:t>
      </w:r>
      <w:proofErr w:type="spellEnd"/>
      <w:r>
        <w:t xml:space="preserve"> and Proposal evaluation plan templates are </w:t>
      </w:r>
      <w:r w:rsidRPr="00F83ED1">
        <w:t xml:space="preserve">provided in the </w:t>
      </w:r>
      <w:r>
        <w:t xml:space="preserve">online </w:t>
      </w:r>
      <w:r w:rsidRPr="00F83ED1">
        <w:t>Appendix</w:t>
      </w:r>
      <w:r>
        <w:t xml:space="preserve"> on the </w:t>
      </w:r>
      <w:proofErr w:type="spellStart"/>
      <w:r>
        <w:t>CDOT</w:t>
      </w:r>
      <w:proofErr w:type="spellEnd"/>
      <w:r>
        <w:t xml:space="preserve"> Innovative Contracting web page or by contacting </w:t>
      </w:r>
      <w:proofErr w:type="spellStart"/>
      <w:r>
        <w:t>CDOT</w:t>
      </w:r>
      <w:proofErr w:type="spellEnd"/>
      <w:r>
        <w:t xml:space="preserve"> Innovative Contracting.  The following discussion provides guidance in the development of project-specific evaluation plans.</w:t>
      </w:r>
    </w:p>
    <w:p w:rsidR="00811B39" w:rsidRPr="00EA34D0" w:rsidRDefault="00811B39" w:rsidP="00811B39"/>
    <w:p w:rsidR="00811B39" w:rsidRPr="00EA34D0" w:rsidRDefault="00811B39" w:rsidP="00811B39">
      <w:r w:rsidRPr="001701E6">
        <w:rPr>
          <w:noProof/>
        </w:rPr>
        <w:drawing>
          <wp:inline distT="0" distB="0" distL="0" distR="0" wp14:anchorId="4EB6777E" wp14:editId="49130419">
            <wp:extent cx="5943600" cy="3328416"/>
            <wp:effectExtent l="0" t="0" r="0" b="571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file01\denver marketing\VSG\projects\8100-TRN\CDOT Design-Build Manual\Final Graphics for Design Build Manual\Textbox_SOQ and Proposal Evaluation Plan Combined-0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600" cy="3328416"/>
                    </a:xfrm>
                    <a:prstGeom prst="rect">
                      <a:avLst/>
                    </a:prstGeom>
                    <a:noFill/>
                    <a:ln>
                      <a:noFill/>
                    </a:ln>
                  </pic:spPr>
                </pic:pic>
              </a:graphicData>
            </a:graphic>
          </wp:inline>
        </w:drawing>
      </w:r>
    </w:p>
    <w:p w:rsidR="00811B39" w:rsidRDefault="00811B39" w:rsidP="00811B39">
      <w:pPr>
        <w:spacing w:after="0"/>
      </w:pPr>
    </w:p>
    <w:p w:rsidR="00811B39" w:rsidRPr="00C82313" w:rsidRDefault="00811B39" w:rsidP="00811B39">
      <w:pPr>
        <w:rPr>
          <w:b/>
        </w:rPr>
      </w:pPr>
      <w:r w:rsidRPr="00C82313">
        <w:rPr>
          <w:b/>
        </w:rPr>
        <w:t xml:space="preserve">Figure 6-1. The </w:t>
      </w:r>
      <w:proofErr w:type="spellStart"/>
      <w:r w:rsidRPr="00C82313">
        <w:rPr>
          <w:b/>
        </w:rPr>
        <w:t>SOQ</w:t>
      </w:r>
      <w:proofErr w:type="spellEnd"/>
      <w:r w:rsidRPr="00C82313">
        <w:rPr>
          <w:b/>
        </w:rPr>
        <w:t xml:space="preserve"> and Proposal Evaluation Procedures</w:t>
      </w:r>
    </w:p>
    <w:p w:rsidR="00811B39" w:rsidRDefault="00811B39" w:rsidP="00811B39">
      <w:pPr>
        <w:autoSpaceDE w:val="0"/>
        <w:autoSpaceDN w:val="0"/>
        <w:adjustRightInd w:val="0"/>
        <w:spacing w:line="240" w:lineRule="auto"/>
        <w:rPr>
          <w:rFonts w:ascii="Calibri" w:hAnsi="Calibri" w:cs="Arial"/>
        </w:rPr>
      </w:pPr>
      <w:r w:rsidRPr="00E30E55">
        <w:rPr>
          <w:rFonts w:ascii="Calibri" w:hAnsi="Calibri" w:cs="TimesNewRomanPSMT"/>
          <w:b/>
          <w:noProof/>
        </w:rPr>
        <mc:AlternateContent>
          <mc:Choice Requires="wps">
            <w:drawing>
              <wp:anchor distT="45720" distB="45720" distL="114300" distR="114300" simplePos="0" relativeHeight="251659264" behindDoc="1" locked="0" layoutInCell="1" allowOverlap="1" wp14:anchorId="79911F6D" wp14:editId="4F6F8B76">
                <wp:simplePos x="0" y="0"/>
                <wp:positionH relativeFrom="column">
                  <wp:posOffset>2762250</wp:posOffset>
                </wp:positionH>
                <wp:positionV relativeFrom="paragraph">
                  <wp:posOffset>114300</wp:posOffset>
                </wp:positionV>
                <wp:extent cx="3284220" cy="5524500"/>
                <wp:effectExtent l="0" t="0" r="11430" b="19050"/>
                <wp:wrapTight wrapText="bothSides">
                  <wp:wrapPolygon edited="0">
                    <wp:start x="0" y="0"/>
                    <wp:lineTo x="0" y="21600"/>
                    <wp:lineTo x="21550" y="21600"/>
                    <wp:lineTo x="2155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5524500"/>
                        </a:xfrm>
                        <a:prstGeom prst="rect">
                          <a:avLst/>
                        </a:prstGeom>
                        <a:solidFill>
                          <a:srgbClr val="FFFFFF"/>
                        </a:solidFill>
                        <a:ln w="9525">
                          <a:solidFill>
                            <a:srgbClr val="000000"/>
                          </a:solidFill>
                          <a:miter lim="800000"/>
                          <a:headEnd/>
                          <a:tailEnd/>
                        </a:ln>
                      </wps:spPr>
                      <wps:txbx>
                        <w:txbxContent>
                          <w:p w:rsidR="00811B39" w:rsidRPr="0028327F" w:rsidRDefault="00811B39" w:rsidP="00811B39">
                            <w:pPr>
                              <w:shd w:val="clear" w:color="auto" w:fill="DEEAF6" w:themeFill="accent1" w:themeFillTint="33"/>
                              <w:autoSpaceDE w:val="0"/>
                              <w:autoSpaceDN w:val="0"/>
                              <w:adjustRightInd w:val="0"/>
                              <w:spacing w:after="80" w:line="240" w:lineRule="auto"/>
                              <w:rPr>
                                <w:rFonts w:ascii="Calibri" w:hAnsi="Calibri" w:cs="TimesNewRomanPSMT"/>
                              </w:rPr>
                            </w:pPr>
                            <w:r w:rsidRPr="0028327F">
                              <w:rPr>
                                <w:rFonts w:ascii="Calibri" w:hAnsi="Calibri" w:cs="Arial"/>
                                <w:b/>
                                <w:sz w:val="24"/>
                                <w:szCs w:val="24"/>
                              </w:rPr>
                              <w:t>Subjectivity in evaluations</w:t>
                            </w:r>
                            <w:r w:rsidRPr="0028327F">
                              <w:rPr>
                                <w:rFonts w:ascii="Calibri" w:hAnsi="Calibri" w:cs="Arial"/>
                                <w:b/>
                              </w:rPr>
                              <w:t xml:space="preserve">: </w:t>
                            </w:r>
                            <w:r>
                              <w:rPr>
                                <w:rFonts w:ascii="Calibri" w:hAnsi="Calibri" w:cs="Arial"/>
                                <w:b/>
                              </w:rPr>
                              <w:t>“</w:t>
                            </w:r>
                            <w:r w:rsidRPr="0028327F">
                              <w:rPr>
                                <w:rFonts w:ascii="Calibri" w:hAnsi="Calibri" w:cs="TimesNewRomanPSMT"/>
                              </w:rPr>
                              <w:t>An essential premise in design-build evaluation planning is that the design is not complete at</w:t>
                            </w:r>
                            <w:r w:rsidRPr="0028327F">
                              <w:rPr>
                                <w:rFonts w:ascii="Calibri" w:hAnsi="Calibri" w:cs="Arial"/>
                              </w:rPr>
                              <w:t xml:space="preserve"> </w:t>
                            </w:r>
                            <w:r w:rsidRPr="0028327F">
                              <w:rPr>
                                <w:rFonts w:ascii="Calibri" w:hAnsi="Calibri" w:cs="TimesNewRomanPSMT"/>
                              </w:rPr>
                              <w:t>contract award. Thus, it is always in the owner’</w:t>
                            </w:r>
                            <w:r w:rsidRPr="00E9637A">
                              <w:rPr>
                                <w:rFonts w:ascii="Calibri" w:hAnsi="Calibri" w:cs="TimesNewRomanPSMT"/>
                              </w:rPr>
                              <w:t>s best interest to ask for information regarding</w:t>
                            </w:r>
                            <w:r w:rsidRPr="0028327F">
                              <w:rPr>
                                <w:rFonts w:ascii="Calibri" w:hAnsi="Calibri" w:cs="Arial"/>
                              </w:rPr>
                              <w:t xml:space="preserve"> </w:t>
                            </w:r>
                            <w:r w:rsidRPr="0028327F">
                              <w:rPr>
                                <w:rFonts w:ascii="Calibri" w:hAnsi="Calibri" w:cs="TimesNewRomanPSMT"/>
                              </w:rPr>
                              <w:t>the design-builders’ design approaches. The review of design product, in any form, is by definition an exercise in the application of professional judgment.</w:t>
                            </w:r>
                            <w:r>
                              <w:rPr>
                                <w:rFonts w:ascii="Calibri" w:hAnsi="Calibri" w:cs="TimesNewRomanPSMT"/>
                              </w:rPr>
                              <w:t>…</w:t>
                            </w:r>
                            <w:r w:rsidRPr="0028327F">
                              <w:rPr>
                                <w:rFonts w:ascii="Calibri" w:hAnsi="Calibri" w:cs="TimesNewRomanPSMT"/>
                              </w:rPr>
                              <w:t xml:space="preserve"> </w:t>
                            </w:r>
                          </w:p>
                          <w:p w:rsidR="00811B39" w:rsidRPr="002572B0" w:rsidRDefault="00811B39" w:rsidP="00811B39">
                            <w:pPr>
                              <w:shd w:val="clear" w:color="auto" w:fill="DEEAF6" w:themeFill="accent1" w:themeFillTint="33"/>
                              <w:autoSpaceDE w:val="0"/>
                              <w:autoSpaceDN w:val="0"/>
                              <w:adjustRightInd w:val="0"/>
                              <w:spacing w:after="80" w:line="240" w:lineRule="auto"/>
                              <w:rPr>
                                <w:rFonts w:ascii="Calibri" w:hAnsi="Calibri" w:cs="TimesNewRomanPSMT"/>
                              </w:rPr>
                            </w:pPr>
                            <w:r w:rsidRPr="0028327F">
                              <w:rPr>
                                <w:rFonts w:ascii="Calibri" w:hAnsi="Calibri" w:cs="TimesNewRomanPSMT"/>
                              </w:rPr>
                              <w:t xml:space="preserve">A protest of a design-build evaluation plan in Minnesota dealt with the issue of subjectivity in the evaluation process. The plaintiff, a design-build team who had failed to make the shortlist, argued that the process was </w:t>
                            </w:r>
                            <w:r>
                              <w:rPr>
                                <w:rFonts w:ascii="Calibri" w:hAnsi="Calibri" w:cs="TimesNewRomanPSMT"/>
                              </w:rPr>
                              <w:t>‘</w:t>
                            </w:r>
                            <w:r w:rsidRPr="0028327F">
                              <w:rPr>
                                <w:rFonts w:ascii="Calibri" w:hAnsi="Calibri" w:cs="TimesNewRomanPSMT"/>
                              </w:rPr>
                              <w:t>a</w:t>
                            </w:r>
                            <w:r w:rsidRPr="00B61143">
                              <w:rPr>
                                <w:rFonts w:ascii="Calibri" w:hAnsi="Calibri" w:cs="TimesNewRomanPSMT"/>
                              </w:rPr>
                              <w:t>rbitrary and capricious.</w:t>
                            </w:r>
                            <w:r>
                              <w:rPr>
                                <w:rFonts w:ascii="Calibri" w:hAnsi="Calibri" w:cs="TimesNewRomanPSMT"/>
                              </w:rPr>
                              <w:t>’</w:t>
                            </w:r>
                            <w:r w:rsidRPr="00B61143">
                              <w:rPr>
                                <w:rFonts w:ascii="Calibri" w:hAnsi="Calibri" w:cs="TimesNewRomanPSMT"/>
                              </w:rPr>
                              <w:t xml:space="preserve"> In its Findings of Fact, the district judge stated: </w:t>
                            </w:r>
                            <w:r>
                              <w:rPr>
                                <w:rFonts w:ascii="Calibri" w:hAnsi="Calibri" w:cs="TimesNewRomanPSMT"/>
                              </w:rPr>
                              <w:t>‘</w:t>
                            </w:r>
                            <w:r w:rsidRPr="00B61143">
                              <w:rPr>
                                <w:rFonts w:ascii="Calibri" w:hAnsi="Calibri" w:cs="TimesNewRomanPSMT"/>
                              </w:rPr>
                              <w:t xml:space="preserve">The court recognizes that there is a human element in the evaluation process. It would be </w:t>
                            </w:r>
                            <w:r w:rsidRPr="000568CC">
                              <w:rPr>
                                <w:rFonts w:ascii="Calibri" w:hAnsi="Calibri" w:cs="Times New Roman"/>
                                <w:i/>
                                <w:iCs/>
                              </w:rPr>
                              <w:t>impossible to use people in the process and filter out subjective evaluation</w:t>
                            </w:r>
                            <w:r w:rsidRPr="0028327F">
                              <w:rPr>
                                <w:rFonts w:ascii="Calibri" w:hAnsi="Calibri" w:cs="TimesNewRomanPSMT"/>
                              </w:rPr>
                              <w:t>. However, the court also recognizes that the fact that the process coul</w:t>
                            </w:r>
                            <w:r w:rsidRPr="00E9637A">
                              <w:rPr>
                                <w:rFonts w:ascii="Calibri" w:hAnsi="Calibri" w:cs="TimesNewRomanPSMT"/>
                              </w:rPr>
                              <w:t>d be improved does not make the process used in this case arbitrary</w:t>
                            </w:r>
                            <w:r>
                              <w:rPr>
                                <w:rFonts w:ascii="Calibri" w:hAnsi="Calibri" w:cs="TimesNewRomanPSMT"/>
                              </w:rPr>
                              <w:t xml:space="preserve"> or capricious.’</w:t>
                            </w:r>
                            <w:r>
                              <w:rPr>
                                <w:rFonts w:ascii="Calibri" w:hAnsi="Calibri" w:cs="TimesNewRomanPSMT"/>
                                <w:vertAlign w:val="superscript"/>
                              </w:rPr>
                              <w:t xml:space="preserve"> 7</w:t>
                            </w:r>
                          </w:p>
                          <w:p w:rsidR="00811B39" w:rsidRPr="0028327F" w:rsidRDefault="00811B39" w:rsidP="00811B39">
                            <w:pPr>
                              <w:shd w:val="clear" w:color="auto" w:fill="DEEAF6" w:themeFill="accent1" w:themeFillTint="33"/>
                              <w:autoSpaceDE w:val="0"/>
                              <w:autoSpaceDN w:val="0"/>
                              <w:adjustRightInd w:val="0"/>
                              <w:spacing w:after="0" w:line="240" w:lineRule="auto"/>
                              <w:rPr>
                                <w:rFonts w:ascii="Calibri" w:hAnsi="Calibri" w:cs="TimesNewRomanPSMT"/>
                              </w:rPr>
                            </w:pPr>
                            <w:r w:rsidRPr="00E9637A">
                              <w:rPr>
                                <w:rFonts w:ascii="Calibri" w:hAnsi="Calibri" w:cs="TimesNewRomanPSMT"/>
                              </w:rPr>
                              <w:t xml:space="preserve">This finding also discussed the fact that the requirements for making the shortlist were published in the </w:t>
                            </w:r>
                            <w:proofErr w:type="spellStart"/>
                            <w:r w:rsidRPr="00E9637A">
                              <w:rPr>
                                <w:rFonts w:ascii="Calibri" w:hAnsi="Calibri" w:cs="TimesNewRomanPSMT"/>
                              </w:rPr>
                              <w:t>RFQ</w:t>
                            </w:r>
                            <w:proofErr w:type="spellEnd"/>
                            <w:r w:rsidRPr="00E9637A">
                              <w:rPr>
                                <w:rFonts w:ascii="Calibri" w:hAnsi="Calibri" w:cs="TimesNewRomanPSMT"/>
                              </w:rPr>
                              <w:t xml:space="preserve">, that the evaluators were professionally competent to make </w:t>
                            </w:r>
                            <w:r w:rsidRPr="00B61143">
                              <w:rPr>
                                <w:rFonts w:ascii="Calibri" w:hAnsi="Calibri" w:cs="TimesNewRomanPSMT"/>
                              </w:rPr>
                              <w:t xml:space="preserve">judgments between competing statements of qualifications, and that the evaluation criteria were applied as published. Thus, the protest was denied and the Minnesota Department of Transportation’s evaluation plan was vindicated even though it contained an element of subjectivity, </w:t>
                            </w:r>
                            <w:r w:rsidRPr="000568CC">
                              <w:rPr>
                                <w:rFonts w:ascii="Calibri" w:hAnsi="Calibri" w:cs="TimesNewRomanPSMT"/>
                              </w:rPr>
                              <w:t>[</w:t>
                            </w:r>
                            <w:r w:rsidRPr="0028327F">
                              <w:rPr>
                                <w:rFonts w:ascii="Calibri" w:hAnsi="Calibri" w:cs="TimesNewRomanPSMT"/>
                              </w:rPr>
                              <w:t>precisely because it was transparent].</w:t>
                            </w:r>
                            <w:r>
                              <w:rPr>
                                <w:rFonts w:ascii="Calibri" w:hAnsi="Calibri" w:cs="TimesNewRomanPSMT"/>
                              </w:rPr>
                              <w:t>”</w:t>
                            </w:r>
                            <w:r>
                              <w:rPr>
                                <w:rFonts w:ascii="Calibri" w:hAnsi="Calibri" w:cs="TimesNewRomanPSMT"/>
                                <w:vertAlign w:val="superscript"/>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11F6D" id="_x0000_t202" coordsize="21600,21600" o:spt="202" path="m,l,21600r21600,l21600,xe">
                <v:stroke joinstyle="miter"/>
                <v:path gradientshapeok="t" o:connecttype="rect"/>
              </v:shapetype>
              <v:shape id="Text Box 2" o:spid="_x0000_s1026" type="#_x0000_t202" style="position:absolute;margin-left:217.5pt;margin-top:9pt;width:258.6pt;height: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">
                <v:textbox>
                  <w:txbxContent>
                    <w:p w:rsidR="00811B39" w:rsidRPr="0028327F" w:rsidRDefault="00811B39" w:rsidP="00811B39">
                      <w:pPr>
                        <w:shd w:val="clear" w:color="auto" w:fill="DEEAF6" w:themeFill="accent1" w:themeFillTint="33"/>
                        <w:autoSpaceDE w:val="0"/>
                        <w:autoSpaceDN w:val="0"/>
                        <w:adjustRightInd w:val="0"/>
                        <w:spacing w:after="80" w:line="240" w:lineRule="auto"/>
                        <w:rPr>
                          <w:rFonts w:ascii="Calibri" w:hAnsi="Calibri" w:cs="TimesNewRomanPSMT"/>
                        </w:rPr>
                      </w:pPr>
                      <w:r w:rsidRPr="0028327F">
                        <w:rPr>
                          <w:rFonts w:ascii="Calibri" w:hAnsi="Calibri" w:cs="Arial"/>
                          <w:b/>
                          <w:sz w:val="24"/>
                          <w:szCs w:val="24"/>
                        </w:rPr>
                        <w:t>Subjectivity in evaluations</w:t>
                      </w:r>
                      <w:r w:rsidRPr="0028327F">
                        <w:rPr>
                          <w:rFonts w:ascii="Calibri" w:hAnsi="Calibri" w:cs="Arial"/>
                          <w:b/>
                        </w:rPr>
                        <w:t xml:space="preserve">: </w:t>
                      </w:r>
                      <w:r>
                        <w:rPr>
                          <w:rFonts w:ascii="Calibri" w:hAnsi="Calibri" w:cs="Arial"/>
                          <w:b/>
                        </w:rPr>
                        <w:t>“</w:t>
                      </w:r>
                      <w:r w:rsidRPr="0028327F">
                        <w:rPr>
                          <w:rFonts w:ascii="Calibri" w:hAnsi="Calibri" w:cs="TimesNewRomanPSMT"/>
                        </w:rPr>
                        <w:t>An essential premise in design-build evaluation planning is that the design is not complete at</w:t>
                      </w:r>
                      <w:r w:rsidRPr="0028327F">
                        <w:rPr>
                          <w:rFonts w:ascii="Calibri" w:hAnsi="Calibri" w:cs="Arial"/>
                        </w:rPr>
                        <w:t xml:space="preserve"> </w:t>
                      </w:r>
                      <w:r w:rsidRPr="0028327F">
                        <w:rPr>
                          <w:rFonts w:ascii="Calibri" w:hAnsi="Calibri" w:cs="TimesNewRomanPSMT"/>
                        </w:rPr>
                        <w:t>contract award. Thus, it is always in the owner’</w:t>
                      </w:r>
                      <w:r w:rsidRPr="00E9637A">
                        <w:rPr>
                          <w:rFonts w:ascii="Calibri" w:hAnsi="Calibri" w:cs="TimesNewRomanPSMT"/>
                        </w:rPr>
                        <w:t>s best interest to ask for information regarding</w:t>
                      </w:r>
                      <w:r w:rsidRPr="0028327F">
                        <w:rPr>
                          <w:rFonts w:ascii="Calibri" w:hAnsi="Calibri" w:cs="Arial"/>
                        </w:rPr>
                        <w:t xml:space="preserve"> </w:t>
                      </w:r>
                      <w:r w:rsidRPr="0028327F">
                        <w:rPr>
                          <w:rFonts w:ascii="Calibri" w:hAnsi="Calibri" w:cs="TimesNewRomanPSMT"/>
                        </w:rPr>
                        <w:t>the design-builders’ design approaches. The review of design product, in any form, is by definition an exercise in the application of professional judgment.</w:t>
                      </w:r>
                      <w:r>
                        <w:rPr>
                          <w:rFonts w:ascii="Calibri" w:hAnsi="Calibri" w:cs="TimesNewRomanPSMT"/>
                        </w:rPr>
                        <w:t>…</w:t>
                      </w:r>
                      <w:r w:rsidRPr="0028327F">
                        <w:rPr>
                          <w:rFonts w:ascii="Calibri" w:hAnsi="Calibri" w:cs="TimesNewRomanPSMT"/>
                        </w:rPr>
                        <w:t xml:space="preserve"> </w:t>
                      </w:r>
                    </w:p>
                    <w:p w:rsidR="00811B39" w:rsidRPr="002572B0" w:rsidRDefault="00811B39" w:rsidP="00811B39">
                      <w:pPr>
                        <w:shd w:val="clear" w:color="auto" w:fill="DEEAF6" w:themeFill="accent1" w:themeFillTint="33"/>
                        <w:autoSpaceDE w:val="0"/>
                        <w:autoSpaceDN w:val="0"/>
                        <w:adjustRightInd w:val="0"/>
                        <w:spacing w:after="80" w:line="240" w:lineRule="auto"/>
                        <w:rPr>
                          <w:rFonts w:ascii="Calibri" w:hAnsi="Calibri" w:cs="TimesNewRomanPSMT"/>
                        </w:rPr>
                      </w:pPr>
                      <w:r w:rsidRPr="0028327F">
                        <w:rPr>
                          <w:rFonts w:ascii="Calibri" w:hAnsi="Calibri" w:cs="TimesNewRomanPSMT"/>
                        </w:rPr>
                        <w:t xml:space="preserve">A protest of a design-build evaluation plan in Minnesota dealt with the issue of subjectivity in the evaluation process. The plaintiff, a design-build team who had failed to make the shortlist, argued that the process was </w:t>
                      </w:r>
                      <w:r>
                        <w:rPr>
                          <w:rFonts w:ascii="Calibri" w:hAnsi="Calibri" w:cs="TimesNewRomanPSMT"/>
                        </w:rPr>
                        <w:t>‘</w:t>
                      </w:r>
                      <w:r w:rsidRPr="0028327F">
                        <w:rPr>
                          <w:rFonts w:ascii="Calibri" w:hAnsi="Calibri" w:cs="TimesNewRomanPSMT"/>
                        </w:rPr>
                        <w:t>a</w:t>
                      </w:r>
                      <w:r w:rsidRPr="00B61143">
                        <w:rPr>
                          <w:rFonts w:ascii="Calibri" w:hAnsi="Calibri" w:cs="TimesNewRomanPSMT"/>
                        </w:rPr>
                        <w:t>rbitrary and capricious.</w:t>
                      </w:r>
                      <w:r>
                        <w:rPr>
                          <w:rFonts w:ascii="Calibri" w:hAnsi="Calibri" w:cs="TimesNewRomanPSMT"/>
                        </w:rPr>
                        <w:t>’</w:t>
                      </w:r>
                      <w:r w:rsidRPr="00B61143">
                        <w:rPr>
                          <w:rFonts w:ascii="Calibri" w:hAnsi="Calibri" w:cs="TimesNewRomanPSMT"/>
                        </w:rPr>
                        <w:t xml:space="preserve"> In its Findings of Fact, the district judge stated: </w:t>
                      </w:r>
                      <w:r>
                        <w:rPr>
                          <w:rFonts w:ascii="Calibri" w:hAnsi="Calibri" w:cs="TimesNewRomanPSMT"/>
                        </w:rPr>
                        <w:t>‘</w:t>
                      </w:r>
                      <w:r w:rsidRPr="00B61143">
                        <w:rPr>
                          <w:rFonts w:ascii="Calibri" w:hAnsi="Calibri" w:cs="TimesNewRomanPSMT"/>
                        </w:rPr>
                        <w:t xml:space="preserve">The court recognizes that there is a human element in the evaluation process. It would be </w:t>
                      </w:r>
                      <w:r w:rsidRPr="000568CC">
                        <w:rPr>
                          <w:rFonts w:ascii="Calibri" w:hAnsi="Calibri" w:cs="Times New Roman"/>
                          <w:i/>
                          <w:iCs/>
                        </w:rPr>
                        <w:t>impossible to use people in the process and filter out subjective evaluation</w:t>
                      </w:r>
                      <w:r w:rsidRPr="0028327F">
                        <w:rPr>
                          <w:rFonts w:ascii="Calibri" w:hAnsi="Calibri" w:cs="TimesNewRomanPSMT"/>
                        </w:rPr>
                        <w:t>. However, the court also recognizes that the fact that the process coul</w:t>
                      </w:r>
                      <w:r w:rsidRPr="00E9637A">
                        <w:rPr>
                          <w:rFonts w:ascii="Calibri" w:hAnsi="Calibri" w:cs="TimesNewRomanPSMT"/>
                        </w:rPr>
                        <w:t>d be improved does not make the process used in this case arbitrary</w:t>
                      </w:r>
                      <w:r>
                        <w:rPr>
                          <w:rFonts w:ascii="Calibri" w:hAnsi="Calibri" w:cs="TimesNewRomanPSMT"/>
                        </w:rPr>
                        <w:t xml:space="preserve"> or capricious.’</w:t>
                      </w:r>
                      <w:r>
                        <w:rPr>
                          <w:rFonts w:ascii="Calibri" w:hAnsi="Calibri" w:cs="TimesNewRomanPSMT"/>
                          <w:vertAlign w:val="superscript"/>
                        </w:rPr>
                        <w:t xml:space="preserve"> 7</w:t>
                      </w:r>
                    </w:p>
                    <w:p w:rsidR="00811B39" w:rsidRPr="0028327F" w:rsidRDefault="00811B39" w:rsidP="00811B39">
                      <w:pPr>
                        <w:shd w:val="clear" w:color="auto" w:fill="DEEAF6" w:themeFill="accent1" w:themeFillTint="33"/>
                        <w:autoSpaceDE w:val="0"/>
                        <w:autoSpaceDN w:val="0"/>
                        <w:adjustRightInd w:val="0"/>
                        <w:spacing w:after="0" w:line="240" w:lineRule="auto"/>
                        <w:rPr>
                          <w:rFonts w:ascii="Calibri" w:hAnsi="Calibri" w:cs="TimesNewRomanPSMT"/>
                        </w:rPr>
                      </w:pPr>
                      <w:r w:rsidRPr="00E9637A">
                        <w:rPr>
                          <w:rFonts w:ascii="Calibri" w:hAnsi="Calibri" w:cs="TimesNewRomanPSMT"/>
                        </w:rPr>
                        <w:t xml:space="preserve">This finding also discussed the fact that the requirements for making the shortlist were published in the RFQ, that the evaluators were professionally competent to make </w:t>
                      </w:r>
                      <w:r w:rsidRPr="00B61143">
                        <w:rPr>
                          <w:rFonts w:ascii="Calibri" w:hAnsi="Calibri" w:cs="TimesNewRomanPSMT"/>
                        </w:rPr>
                        <w:t xml:space="preserve">judgments between competing statements of qualifications, and that the evaluation criteria were applied as published. Thus, the protest was denied and the Minnesota Department of Transportation’s evaluation plan was vindicated even though it contained an element of subjectivity, </w:t>
                      </w:r>
                      <w:r w:rsidRPr="000568CC">
                        <w:rPr>
                          <w:rFonts w:ascii="Calibri" w:hAnsi="Calibri" w:cs="TimesNewRomanPSMT"/>
                        </w:rPr>
                        <w:t>[</w:t>
                      </w:r>
                      <w:r w:rsidRPr="0028327F">
                        <w:rPr>
                          <w:rFonts w:ascii="Calibri" w:hAnsi="Calibri" w:cs="TimesNewRomanPSMT"/>
                        </w:rPr>
                        <w:t>precisely because it was transparent].</w:t>
                      </w:r>
                      <w:r>
                        <w:rPr>
                          <w:rFonts w:ascii="Calibri" w:hAnsi="Calibri" w:cs="TimesNewRomanPSMT"/>
                        </w:rPr>
                        <w:t>”</w:t>
                      </w:r>
                      <w:r>
                        <w:rPr>
                          <w:rFonts w:ascii="Calibri" w:hAnsi="Calibri" w:cs="TimesNewRomanPSMT"/>
                          <w:vertAlign w:val="superscript"/>
                        </w:rPr>
                        <w:t>8</w:t>
                      </w:r>
                    </w:p>
                  </w:txbxContent>
                </v:textbox>
                <w10:wrap type="tight"/>
              </v:shape>
            </w:pict>
          </mc:Fallback>
        </mc:AlternateContent>
      </w:r>
      <w:r w:rsidRPr="00C0564B">
        <w:rPr>
          <w:rFonts w:ascii="Calibri" w:hAnsi="Calibri" w:cs="Arial"/>
          <w:b/>
        </w:rPr>
        <w:t xml:space="preserve">Evaluation </w:t>
      </w:r>
      <w:r>
        <w:rPr>
          <w:rFonts w:ascii="Calibri" w:hAnsi="Calibri" w:cs="Arial"/>
          <w:b/>
        </w:rPr>
        <w:t>P</w:t>
      </w:r>
      <w:r w:rsidRPr="00C0564B">
        <w:rPr>
          <w:rFonts w:ascii="Calibri" w:hAnsi="Calibri" w:cs="Arial"/>
          <w:b/>
        </w:rPr>
        <w:t xml:space="preserve">lan </w:t>
      </w:r>
      <w:r>
        <w:rPr>
          <w:rFonts w:ascii="Calibri" w:hAnsi="Calibri" w:cs="Arial"/>
          <w:b/>
        </w:rPr>
        <w:t>T</w:t>
      </w:r>
      <w:r w:rsidRPr="00C0564B">
        <w:rPr>
          <w:rFonts w:ascii="Calibri" w:hAnsi="Calibri" w:cs="Arial"/>
          <w:b/>
        </w:rPr>
        <w:t>ransparency</w:t>
      </w:r>
      <w:r w:rsidRPr="00C0564B">
        <w:rPr>
          <w:rFonts w:ascii="Calibri" w:hAnsi="Calibri" w:cs="Arial"/>
        </w:rPr>
        <w:t xml:space="preserve">:  </w:t>
      </w:r>
    </w:p>
    <w:p w:rsidR="00811B39" w:rsidRDefault="00811B39" w:rsidP="00811B39">
      <w:pPr>
        <w:autoSpaceDE w:val="0"/>
        <w:autoSpaceDN w:val="0"/>
        <w:adjustRightInd w:val="0"/>
        <w:spacing w:line="276" w:lineRule="auto"/>
        <w:rPr>
          <w:rFonts w:ascii="Calibri" w:hAnsi="Calibri" w:cs="TimesNewRomanPSMT"/>
        </w:rPr>
      </w:pPr>
      <w:r>
        <w:rPr>
          <w:rFonts w:ascii="Calibri" w:hAnsi="Calibri" w:cs="Arial"/>
        </w:rPr>
        <w:t xml:space="preserve">The </w:t>
      </w:r>
      <w:r>
        <w:t>American Association of State Highway and Transportation Officials (</w:t>
      </w:r>
      <w:proofErr w:type="spellStart"/>
      <w:r>
        <w:t>AASHTO</w:t>
      </w:r>
      <w:proofErr w:type="spellEnd"/>
      <w:r>
        <w:t>)</w:t>
      </w:r>
      <w:r w:rsidRPr="00C0564B">
        <w:rPr>
          <w:rFonts w:ascii="Calibri" w:hAnsi="Calibri" w:cs="TimesNewRomanPSMT"/>
        </w:rPr>
        <w:t xml:space="preserve"> </w:t>
      </w:r>
      <w:r>
        <w:rPr>
          <w:rFonts w:ascii="Calibri" w:hAnsi="Calibri" w:cs="TimesNewRomanPSMT"/>
        </w:rPr>
        <w:t>stresses the importance of transparency in Design-Build evaluation planning in the</w:t>
      </w:r>
      <w:r>
        <w:t xml:space="preserve"> </w:t>
      </w:r>
      <w:proofErr w:type="spellStart"/>
      <w:r w:rsidRPr="001E16D6">
        <w:rPr>
          <w:i/>
        </w:rPr>
        <w:t>AASHTO</w:t>
      </w:r>
      <w:proofErr w:type="spellEnd"/>
      <w:r w:rsidRPr="001E16D6">
        <w:rPr>
          <w:i/>
        </w:rPr>
        <w:t xml:space="preserve"> Guide for Design-Build Procurement</w:t>
      </w:r>
      <w:r>
        <w:rPr>
          <w:i/>
        </w:rPr>
        <w:t xml:space="preserve">, </w:t>
      </w:r>
      <w:r>
        <w:t>which states, “</w:t>
      </w:r>
      <w:r w:rsidRPr="00C0564B">
        <w:rPr>
          <w:rFonts w:ascii="Calibri" w:hAnsi="Calibri" w:cs="TimesNewRomanPSMT"/>
        </w:rPr>
        <w:t xml:space="preserve">It is imperative for all the parties involved in a </w:t>
      </w:r>
      <w:r>
        <w:rPr>
          <w:rFonts w:ascii="Calibri" w:hAnsi="Calibri" w:cs="TimesNewRomanPSMT"/>
        </w:rPr>
        <w:t>design-build</w:t>
      </w:r>
      <w:r w:rsidRPr="00C0564B">
        <w:rPr>
          <w:rFonts w:ascii="Calibri" w:hAnsi="Calibri" w:cs="TimesNewRomanPSMT"/>
        </w:rPr>
        <w:t xml:space="preserve"> project that the evaluation plan</w:t>
      </w:r>
      <w:r w:rsidRPr="00C0564B">
        <w:rPr>
          <w:rFonts w:ascii="Calibri" w:hAnsi="Calibri" w:cs="Arial"/>
        </w:rPr>
        <w:t xml:space="preserve"> </w:t>
      </w:r>
      <w:r w:rsidRPr="00C0564B">
        <w:rPr>
          <w:rFonts w:ascii="Calibri" w:hAnsi="Calibri" w:cs="TimesNewRomanPSMT"/>
        </w:rPr>
        <w:t>be fair, equitable, and transparent.</w:t>
      </w:r>
      <w:r>
        <w:rPr>
          <w:rFonts w:ascii="Calibri" w:hAnsi="Calibri" w:cs="TimesNewRomanPSMT"/>
        </w:rPr>
        <w:t>”</w:t>
      </w:r>
      <w:r>
        <w:rPr>
          <w:rStyle w:val="FootnoteReference"/>
        </w:rPr>
        <w:footnoteReference w:id="1"/>
      </w:r>
      <w:r w:rsidRPr="00C0564B">
        <w:rPr>
          <w:rFonts w:ascii="Calibri" w:hAnsi="Calibri" w:cs="TimesNewRomanPSMT"/>
        </w:rPr>
        <w:t xml:space="preserve"> The evaluation process should clearly indicate </w:t>
      </w:r>
      <w:r>
        <w:rPr>
          <w:rFonts w:ascii="Calibri" w:hAnsi="Calibri" w:cs="TimesNewRomanPSMT"/>
        </w:rPr>
        <w:t>what the Colorado Department of Transportation (</w:t>
      </w:r>
      <w:proofErr w:type="spellStart"/>
      <w:r>
        <w:rPr>
          <w:rFonts w:ascii="Calibri" w:hAnsi="Calibri" w:cs="TimesNewRomanPSMT"/>
        </w:rPr>
        <w:t>CDOT</w:t>
      </w:r>
      <w:proofErr w:type="spellEnd"/>
      <w:r>
        <w:rPr>
          <w:rFonts w:ascii="Calibri" w:hAnsi="Calibri" w:cs="TimesNewRomanPSMT"/>
        </w:rPr>
        <w:t xml:space="preserve">) values and </w:t>
      </w:r>
      <w:r w:rsidRPr="00C0564B">
        <w:rPr>
          <w:rFonts w:ascii="Calibri" w:hAnsi="Calibri" w:cs="TimesNewRomanPSMT"/>
        </w:rPr>
        <w:t>s</w:t>
      </w:r>
      <w:r>
        <w:rPr>
          <w:rFonts w:ascii="Calibri" w:hAnsi="Calibri" w:cs="TimesNewRomanPSMT"/>
        </w:rPr>
        <w:t xml:space="preserve">how the process by which </w:t>
      </w:r>
      <w:proofErr w:type="spellStart"/>
      <w:r>
        <w:rPr>
          <w:rFonts w:ascii="Calibri" w:hAnsi="Calibri" w:cs="TimesNewRomanPSMT"/>
        </w:rPr>
        <w:t>CDOT</w:t>
      </w:r>
      <w:proofErr w:type="spellEnd"/>
      <w:r>
        <w:rPr>
          <w:rFonts w:ascii="Calibri" w:hAnsi="Calibri" w:cs="TimesNewRomanPSMT"/>
        </w:rPr>
        <w:t xml:space="preserve"> determines the short list from the </w:t>
      </w:r>
      <w:proofErr w:type="spellStart"/>
      <w:r>
        <w:rPr>
          <w:rFonts w:ascii="Calibri" w:hAnsi="Calibri" w:cs="TimesNewRomanPSMT"/>
        </w:rPr>
        <w:t>SOQ</w:t>
      </w:r>
      <w:proofErr w:type="spellEnd"/>
      <w:r>
        <w:rPr>
          <w:rFonts w:ascii="Calibri" w:hAnsi="Calibri" w:cs="TimesNewRomanPSMT"/>
        </w:rPr>
        <w:t xml:space="preserve"> submittals or, in the case of the P</w:t>
      </w:r>
      <w:r w:rsidRPr="00C0564B">
        <w:rPr>
          <w:rFonts w:ascii="Calibri" w:hAnsi="Calibri" w:cs="TimesNewRomanPSMT"/>
        </w:rPr>
        <w:t xml:space="preserve">roposal </w:t>
      </w:r>
      <w:r>
        <w:rPr>
          <w:rFonts w:ascii="Calibri" w:hAnsi="Calibri" w:cs="TimesNewRomanPSMT"/>
        </w:rPr>
        <w:t xml:space="preserve">submittals, which proposer </w:t>
      </w:r>
      <w:r w:rsidRPr="00C0564B">
        <w:rPr>
          <w:rFonts w:ascii="Calibri" w:hAnsi="Calibri" w:cs="TimesNewRomanPSMT"/>
        </w:rPr>
        <w:t>provide</w:t>
      </w:r>
      <w:r>
        <w:rPr>
          <w:rFonts w:ascii="Calibri" w:hAnsi="Calibri" w:cs="TimesNewRomanPSMT"/>
        </w:rPr>
        <w:t>s the</w:t>
      </w:r>
      <w:r w:rsidRPr="00C0564B">
        <w:rPr>
          <w:rFonts w:ascii="Calibri" w:hAnsi="Calibri" w:cs="TimesNewRomanPSMT"/>
        </w:rPr>
        <w:t xml:space="preserve"> </w:t>
      </w:r>
      <w:r>
        <w:rPr>
          <w:rFonts w:ascii="Calibri" w:hAnsi="Calibri" w:cs="TimesNewRomanPSMT"/>
        </w:rPr>
        <w:t>best value</w:t>
      </w:r>
      <w:r w:rsidRPr="00C0564B">
        <w:rPr>
          <w:rFonts w:ascii="Calibri" w:hAnsi="Calibri" w:cs="TimesNewRomanPSMT"/>
        </w:rPr>
        <w:t xml:space="preserve"> to </w:t>
      </w:r>
      <w:proofErr w:type="spellStart"/>
      <w:r>
        <w:rPr>
          <w:rFonts w:ascii="Calibri" w:hAnsi="Calibri" w:cs="TimesNewRomanPSMT"/>
        </w:rPr>
        <w:t>CDOT</w:t>
      </w:r>
      <w:proofErr w:type="spellEnd"/>
      <w:r>
        <w:rPr>
          <w:rFonts w:ascii="Calibri" w:hAnsi="Calibri" w:cs="TimesNewRomanPSMT"/>
        </w:rPr>
        <w:t xml:space="preserve">. </w:t>
      </w:r>
    </w:p>
    <w:p w:rsidR="00811B39" w:rsidRPr="00022510" w:rsidRDefault="00811B39" w:rsidP="00811B39">
      <w:pPr>
        <w:autoSpaceDE w:val="0"/>
        <w:autoSpaceDN w:val="0"/>
        <w:adjustRightInd w:val="0"/>
        <w:spacing w:line="276" w:lineRule="auto"/>
        <w:rPr>
          <w:rFonts w:ascii="Calibri" w:hAnsi="Calibri" w:cs="TimesNewRomanPSMT"/>
          <w:color w:val="FF0000"/>
        </w:rPr>
      </w:pPr>
      <w:r>
        <w:rPr>
          <w:rFonts w:ascii="Calibri" w:hAnsi="Calibri" w:cs="TimesNewRomanPSMT"/>
        </w:rPr>
        <w:t xml:space="preserve">In the Proposal phase in particular, evaluation processes that are not transparent or appear to be unfair expose </w:t>
      </w:r>
      <w:proofErr w:type="spellStart"/>
      <w:r>
        <w:rPr>
          <w:rFonts w:ascii="Calibri" w:hAnsi="Calibri" w:cs="TimesNewRomanPSMT"/>
        </w:rPr>
        <w:t>CDOT</w:t>
      </w:r>
      <w:proofErr w:type="spellEnd"/>
      <w:r>
        <w:rPr>
          <w:rFonts w:ascii="Calibri" w:hAnsi="Calibri" w:cs="TimesNewRomanPSMT"/>
        </w:rPr>
        <w:t xml:space="preserve"> to </w:t>
      </w:r>
      <w:r w:rsidRPr="00C0564B">
        <w:rPr>
          <w:rFonts w:ascii="Calibri" w:hAnsi="Calibri" w:cs="TimesNewRomanPSMT"/>
        </w:rPr>
        <w:t>p</w:t>
      </w:r>
      <w:r>
        <w:rPr>
          <w:rFonts w:ascii="Calibri" w:hAnsi="Calibri" w:cs="TimesNewRomanPSMT"/>
        </w:rPr>
        <w:t>otential protests from the unsuccessful</w:t>
      </w:r>
      <w:r w:rsidRPr="00C0564B">
        <w:rPr>
          <w:rFonts w:ascii="Calibri" w:hAnsi="Calibri" w:cs="TimesNewRomanPSMT"/>
        </w:rPr>
        <w:t xml:space="preserve"> pr</w:t>
      </w:r>
      <w:r>
        <w:rPr>
          <w:rFonts w:ascii="Calibri" w:hAnsi="Calibri" w:cs="TimesNewRomanPSMT"/>
        </w:rPr>
        <w:t>oposers</w:t>
      </w:r>
      <w:r w:rsidRPr="00C0564B">
        <w:rPr>
          <w:rFonts w:ascii="Calibri" w:hAnsi="Calibri" w:cs="TimesNewRomanPSMT"/>
        </w:rPr>
        <w:t xml:space="preserve">. </w:t>
      </w:r>
      <w:r>
        <w:rPr>
          <w:rFonts w:ascii="Calibri" w:hAnsi="Calibri" w:cs="TimesNewRomanPSMT"/>
        </w:rPr>
        <w:t>T</w:t>
      </w:r>
      <w:r w:rsidRPr="00C0564B">
        <w:rPr>
          <w:rFonts w:ascii="Calibri" w:hAnsi="Calibri" w:cs="TimesNewRomanPSMT"/>
        </w:rPr>
        <w:t>he following list of recommendations</w:t>
      </w:r>
      <w:r>
        <w:rPr>
          <w:rFonts w:ascii="Calibri" w:hAnsi="Calibri" w:cs="TimesNewRomanPSMT"/>
        </w:rPr>
        <w:t xml:space="preserve">, excerpted from </w:t>
      </w:r>
      <w:proofErr w:type="spellStart"/>
      <w:r>
        <w:rPr>
          <w:rFonts w:ascii="Calibri" w:hAnsi="Calibri" w:cs="TimesNewRomanPSMT"/>
        </w:rPr>
        <w:t>AASHTO’s</w:t>
      </w:r>
      <w:proofErr w:type="spellEnd"/>
      <w:r>
        <w:rPr>
          <w:rFonts w:ascii="Calibri" w:hAnsi="Calibri" w:cs="TimesNewRomanPSMT"/>
        </w:rPr>
        <w:t xml:space="preserve"> </w:t>
      </w:r>
      <w:r w:rsidRPr="001E16D6">
        <w:rPr>
          <w:i/>
        </w:rPr>
        <w:t>Guide for Design-Build Procurement</w:t>
      </w:r>
      <w:r>
        <w:rPr>
          <w:i/>
        </w:rPr>
        <w:t>,</w:t>
      </w:r>
      <w:r w:rsidRPr="00C0564B">
        <w:rPr>
          <w:rFonts w:ascii="Calibri" w:hAnsi="Calibri" w:cs="TimesNewRomanPSMT"/>
        </w:rPr>
        <w:t xml:space="preserve"> should be followed</w:t>
      </w:r>
      <w:r w:rsidRPr="00E56F13">
        <w:rPr>
          <w:rFonts w:ascii="Calibri" w:hAnsi="Calibri" w:cs="TimesNewRomanPSMT"/>
        </w:rPr>
        <w:t>:</w:t>
      </w:r>
      <w:r w:rsidRPr="00022510">
        <w:rPr>
          <w:rFonts w:ascii="Calibri" w:hAnsi="Calibri" w:cs="TimesNewRomanPSMT"/>
          <w:color w:val="FF0000"/>
        </w:rPr>
        <w:t xml:space="preserve">  </w:t>
      </w:r>
    </w:p>
    <w:p w:rsidR="00811B39" w:rsidRPr="00E9637A" w:rsidRDefault="00811B39" w:rsidP="00811B39">
      <w:pPr>
        <w:pStyle w:val="ListParagraph"/>
        <w:numPr>
          <w:ilvl w:val="0"/>
          <w:numId w:val="2"/>
        </w:numPr>
        <w:autoSpaceDE w:val="0"/>
        <w:autoSpaceDN w:val="0"/>
        <w:adjustRightInd w:val="0"/>
        <w:spacing w:line="276" w:lineRule="auto"/>
        <w:rPr>
          <w:rFonts w:ascii="Calibri" w:hAnsi="Calibri" w:cs="TimesNewRomanPSMT"/>
        </w:rPr>
      </w:pPr>
      <w:r>
        <w:rPr>
          <w:rFonts w:ascii="Calibri" w:hAnsi="Calibri" w:cs="TimesNewRomanPSMT"/>
        </w:rPr>
        <w:t>“</w:t>
      </w:r>
      <w:r w:rsidRPr="0028327F">
        <w:rPr>
          <w:rFonts w:ascii="Calibri" w:hAnsi="Calibri" w:cs="TimesNewRomanPSMT"/>
        </w:rPr>
        <w:t>Clearly state the evaluation criteria and weight given for each item and ensure that the</w:t>
      </w:r>
      <w:r w:rsidRPr="00B31074">
        <w:rPr>
          <w:rFonts w:ascii="Calibri" w:hAnsi="Calibri" w:cs="TimesNewRomanPSMT"/>
        </w:rPr>
        <w:t xml:space="preserve"> e</w:t>
      </w:r>
      <w:r w:rsidRPr="00FF671E">
        <w:rPr>
          <w:rFonts w:ascii="Calibri" w:hAnsi="Calibri" w:cs="TimesNewRomanPSMT"/>
        </w:rPr>
        <w:t>valuation team uses them</w:t>
      </w:r>
      <w:r w:rsidRPr="00E9637A">
        <w:rPr>
          <w:rFonts w:ascii="Calibri" w:hAnsi="Calibri" w:cs="TimesNewRomanPSMT"/>
        </w:rPr>
        <w:t>.</w:t>
      </w:r>
    </w:p>
    <w:p w:rsidR="00811B39" w:rsidRPr="0028327F" w:rsidRDefault="00811B39" w:rsidP="00811B39">
      <w:pPr>
        <w:pStyle w:val="ListParagraph"/>
        <w:numPr>
          <w:ilvl w:val="0"/>
          <w:numId w:val="2"/>
        </w:numPr>
        <w:autoSpaceDE w:val="0"/>
        <w:autoSpaceDN w:val="0"/>
        <w:adjustRightInd w:val="0"/>
        <w:spacing w:line="276" w:lineRule="auto"/>
        <w:rPr>
          <w:rFonts w:ascii="Calibri" w:hAnsi="Calibri" w:cs="TimesNewRomanPSMT"/>
        </w:rPr>
      </w:pPr>
      <w:r w:rsidRPr="00C5525F">
        <w:rPr>
          <w:rFonts w:ascii="Calibri" w:hAnsi="Calibri" w:cs="TimesNewRomanPSMT"/>
        </w:rPr>
        <w:t xml:space="preserve">Clearly state the requirements of the </w:t>
      </w:r>
      <w:r w:rsidRPr="0028327F">
        <w:rPr>
          <w:rFonts w:ascii="Calibri" w:hAnsi="Calibri" w:cs="TimesNewRomanPSMT"/>
        </w:rPr>
        <w:t>RFP including what will be considered a non-responsive submittal.</w:t>
      </w:r>
    </w:p>
    <w:p w:rsidR="00811B39" w:rsidRPr="00F83ED1" w:rsidRDefault="00811B39" w:rsidP="00811B39">
      <w:pPr>
        <w:pStyle w:val="ListParagraph"/>
        <w:numPr>
          <w:ilvl w:val="0"/>
          <w:numId w:val="2"/>
        </w:numPr>
        <w:autoSpaceDE w:val="0"/>
        <w:autoSpaceDN w:val="0"/>
        <w:adjustRightInd w:val="0"/>
        <w:spacing w:line="276" w:lineRule="auto"/>
        <w:rPr>
          <w:rFonts w:ascii="Calibri" w:hAnsi="Calibri" w:cs="TimesNewRomanPSMT"/>
        </w:rPr>
      </w:pPr>
      <w:r w:rsidRPr="00B31074">
        <w:rPr>
          <w:rFonts w:ascii="Calibri" w:hAnsi="Calibri" w:cs="TimesNewRomanPSMT"/>
        </w:rPr>
        <w:t>Do not seek from design-builders the number or dollar amount of changes on past</w:t>
      </w:r>
      <w:r w:rsidRPr="00FF671E">
        <w:rPr>
          <w:rFonts w:ascii="Calibri" w:hAnsi="Calibri" w:cs="TimesNewRomanPSMT"/>
        </w:rPr>
        <w:t xml:space="preserve"> p</w:t>
      </w:r>
      <w:r w:rsidRPr="00F83ED1">
        <w:rPr>
          <w:rFonts w:ascii="Calibri" w:hAnsi="Calibri" w:cs="TimesNewRomanPSMT"/>
        </w:rPr>
        <w:t>rojects constructed by them.</w:t>
      </w:r>
    </w:p>
    <w:p w:rsidR="00811B39" w:rsidRPr="00FF671E" w:rsidRDefault="00811B39" w:rsidP="00811B39">
      <w:pPr>
        <w:pStyle w:val="ListParagraph"/>
        <w:numPr>
          <w:ilvl w:val="0"/>
          <w:numId w:val="3"/>
        </w:numPr>
        <w:autoSpaceDE w:val="0"/>
        <w:autoSpaceDN w:val="0"/>
        <w:adjustRightInd w:val="0"/>
        <w:spacing w:line="276" w:lineRule="auto"/>
        <w:rPr>
          <w:rFonts w:ascii="Calibri" w:hAnsi="Calibri" w:cs="TimesNewRomanPSMT"/>
        </w:rPr>
      </w:pPr>
      <w:r w:rsidRPr="00EF3930">
        <w:rPr>
          <w:rFonts w:ascii="Calibri" w:hAnsi="Calibri" w:cs="TimesNewRomanPSMT"/>
        </w:rPr>
        <w:t>[</w:t>
      </w:r>
      <w:r w:rsidRPr="0028327F">
        <w:rPr>
          <w:rFonts w:ascii="Calibri" w:hAnsi="Calibri" w:cs="TimesNewRomanPSMT"/>
        </w:rPr>
        <w:t>In the proposal phase,</w:t>
      </w:r>
      <w:r w:rsidRPr="00EF3930">
        <w:rPr>
          <w:rFonts w:ascii="Calibri" w:hAnsi="Calibri" w:cs="TimesNewRomanPSMT"/>
        </w:rPr>
        <w:t>]</w:t>
      </w:r>
      <w:r w:rsidRPr="0028327F">
        <w:rPr>
          <w:rFonts w:ascii="Calibri" w:hAnsi="Calibri" w:cs="TimesNewRomanPSMT"/>
        </w:rPr>
        <w:t xml:space="preserve"> give equal opportunity … for each short-listed submitter to converse with representatives of the public [</w:t>
      </w:r>
      <w:proofErr w:type="gramStart"/>
      <w:r w:rsidRPr="0028327F">
        <w:rPr>
          <w:rFonts w:ascii="Calibri" w:hAnsi="Calibri" w:cs="TimesNewRomanPSMT"/>
        </w:rPr>
        <w:t>owner’s</w:t>
      </w:r>
      <w:proofErr w:type="gramEnd"/>
      <w:r w:rsidRPr="0028327F">
        <w:rPr>
          <w:rFonts w:ascii="Calibri" w:hAnsi="Calibri" w:cs="TimesNewRomanPSMT"/>
        </w:rPr>
        <w:t xml:space="preserve">] evaluation team to clarify their proposal and any of </w:t>
      </w:r>
      <w:r w:rsidRPr="00B31074">
        <w:rPr>
          <w:rFonts w:ascii="Calibri" w:hAnsi="Calibri" w:cs="TimesNewRomanPSMT"/>
        </w:rPr>
        <w:t>the requirements of the RFP.</w:t>
      </w:r>
    </w:p>
    <w:p w:rsidR="00811B39" w:rsidRPr="0028327F" w:rsidRDefault="00811B39" w:rsidP="00811B39">
      <w:pPr>
        <w:pStyle w:val="ListParagraph"/>
        <w:numPr>
          <w:ilvl w:val="0"/>
          <w:numId w:val="3"/>
        </w:numPr>
        <w:autoSpaceDE w:val="0"/>
        <w:autoSpaceDN w:val="0"/>
        <w:adjustRightInd w:val="0"/>
        <w:spacing w:line="276" w:lineRule="auto"/>
        <w:rPr>
          <w:rFonts w:ascii="Calibri" w:hAnsi="Calibri" w:cs="TimesNewRomanPSMT"/>
        </w:rPr>
      </w:pPr>
      <w:r w:rsidRPr="0028327F">
        <w:rPr>
          <w:rFonts w:ascii="Calibri" w:hAnsi="Calibri" w:cs="TimesNewRomanPSMT"/>
        </w:rPr>
        <w:t>[In the proposal phase] provide candid feedback and a stipend to unsuccessful bidders.</w:t>
      </w:r>
      <w:r>
        <w:rPr>
          <w:rFonts w:ascii="Calibri" w:hAnsi="Calibri" w:cs="TimesNewRomanPSMT"/>
        </w:rPr>
        <w:t>”</w:t>
      </w:r>
    </w:p>
    <w:p w:rsidR="00811B39" w:rsidRPr="002774DD" w:rsidRDefault="00811B39" w:rsidP="00811B39">
      <w:pPr>
        <w:autoSpaceDE w:val="0"/>
        <w:autoSpaceDN w:val="0"/>
        <w:adjustRightInd w:val="0"/>
        <w:spacing w:line="276" w:lineRule="auto"/>
        <w:rPr>
          <w:rFonts w:ascii="Calibri" w:hAnsi="Calibri" w:cs="TimesNewRomanPSMT"/>
        </w:rPr>
      </w:pPr>
      <w:proofErr w:type="spellStart"/>
      <w:r>
        <w:rPr>
          <w:rFonts w:ascii="Calibri" w:hAnsi="Calibri" w:cs="TimesNewRomanPSMT"/>
        </w:rPr>
        <w:t>AASHTO</w:t>
      </w:r>
      <w:proofErr w:type="spellEnd"/>
      <w:r>
        <w:rPr>
          <w:rFonts w:ascii="Calibri" w:hAnsi="Calibri" w:cs="TimesNewRomanPSMT"/>
        </w:rPr>
        <w:t xml:space="preserve"> based this list on</w:t>
      </w:r>
      <w:r w:rsidRPr="00840035">
        <w:rPr>
          <w:rFonts w:ascii="Calibri" w:hAnsi="Calibri" w:cs="TimesNewRomanPSMT"/>
        </w:rPr>
        <w:t xml:space="preserve"> </w:t>
      </w:r>
      <w:r>
        <w:rPr>
          <w:rFonts w:ascii="Calibri" w:hAnsi="Calibri" w:cs="TimesNewRomanPSMT"/>
        </w:rPr>
        <w:t>“</w:t>
      </w:r>
      <w:r w:rsidRPr="00840035">
        <w:rPr>
          <w:rFonts w:ascii="Calibri" w:hAnsi="Calibri" w:cs="TimesNewRomanPSMT"/>
        </w:rPr>
        <w:t>several cases where the award</w:t>
      </w:r>
      <w:r w:rsidRPr="0059293B">
        <w:rPr>
          <w:rFonts w:ascii="Calibri" w:hAnsi="Calibri" w:cs="TimesNewRomanPSMT"/>
        </w:rPr>
        <w:t xml:space="preserve"> </w:t>
      </w:r>
      <w:r>
        <w:rPr>
          <w:rFonts w:ascii="Calibri" w:hAnsi="Calibri" w:cs="TimesNewRomanPSMT"/>
        </w:rPr>
        <w:t>was</w:t>
      </w:r>
      <w:r w:rsidRPr="0059293B">
        <w:rPr>
          <w:rFonts w:ascii="Calibri" w:hAnsi="Calibri" w:cs="TimesNewRomanPSMT"/>
        </w:rPr>
        <w:t xml:space="preserve"> successfully protested because the evaluation plan </w:t>
      </w:r>
      <w:r>
        <w:rPr>
          <w:rFonts w:ascii="Calibri" w:hAnsi="Calibri" w:cs="TimesNewRomanPSMT"/>
        </w:rPr>
        <w:t>was</w:t>
      </w:r>
      <w:r w:rsidRPr="0059293B">
        <w:rPr>
          <w:rFonts w:ascii="Calibri" w:hAnsi="Calibri" w:cs="TimesNewRomanPSMT"/>
        </w:rPr>
        <w:t xml:space="preserve"> unclear and overly subjective. Award protests and their subsequent project delays are avoidable </w:t>
      </w:r>
      <w:r>
        <w:rPr>
          <w:rFonts w:ascii="Calibri" w:hAnsi="Calibri" w:cs="TimesNewRomanPSMT"/>
        </w:rPr>
        <w:t>if</w:t>
      </w:r>
      <w:r w:rsidRPr="0059293B">
        <w:rPr>
          <w:rFonts w:ascii="Calibri" w:hAnsi="Calibri" w:cs="TimesNewRomanPSMT"/>
        </w:rPr>
        <w:t xml:space="preserve"> the agency </w:t>
      </w:r>
      <w:r>
        <w:rPr>
          <w:rFonts w:ascii="Calibri" w:hAnsi="Calibri" w:cs="TimesNewRomanPSMT"/>
        </w:rPr>
        <w:t>invests</w:t>
      </w:r>
      <w:r w:rsidRPr="0059293B">
        <w:rPr>
          <w:rFonts w:ascii="Calibri" w:hAnsi="Calibri" w:cs="TimesNewRomanPSMT"/>
        </w:rPr>
        <w:t xml:space="preserve"> the upfront resources necessary to develop a fair, equitable, and, perhaps most important</w:t>
      </w:r>
      <w:r>
        <w:rPr>
          <w:rFonts w:ascii="Calibri" w:hAnsi="Calibri" w:cs="TimesNewRomanPSMT"/>
        </w:rPr>
        <w:t>ly</w:t>
      </w:r>
      <w:r w:rsidRPr="0059293B">
        <w:rPr>
          <w:rFonts w:ascii="Calibri" w:hAnsi="Calibri" w:cs="TimesNewRomanPSMT"/>
        </w:rPr>
        <w:t xml:space="preserve">, transparent evaluation system </w:t>
      </w:r>
      <w:r>
        <w:rPr>
          <w:rFonts w:ascii="Calibri" w:hAnsi="Calibri" w:cs="TimesNewRomanPSMT"/>
        </w:rPr>
        <w:t>with which to select</w:t>
      </w:r>
      <w:r w:rsidRPr="0059293B">
        <w:rPr>
          <w:rFonts w:ascii="Calibri" w:hAnsi="Calibri" w:cs="TimesNewRomanPSMT"/>
        </w:rPr>
        <w:t xml:space="preserve"> the best value from among several competing proposals.</w:t>
      </w:r>
      <w:r>
        <w:rPr>
          <w:rFonts w:ascii="Calibri" w:hAnsi="Calibri" w:cs="TimesNewRomanPSMT"/>
        </w:rPr>
        <w:t>”</w:t>
      </w:r>
      <w:r>
        <w:rPr>
          <w:rStyle w:val="FootnoteReference"/>
          <w:rFonts w:ascii="Calibri" w:hAnsi="Calibri" w:cs="TimesNewRomanPSMT"/>
        </w:rPr>
        <w:footnoteReference w:customMarkFollows="1" w:id="2"/>
        <w:t>9</w:t>
      </w:r>
    </w:p>
    <w:p w:rsidR="00811B39" w:rsidRDefault="00811B39" w:rsidP="00811B39">
      <w:pPr>
        <w:autoSpaceDE w:val="0"/>
        <w:autoSpaceDN w:val="0"/>
        <w:adjustRightInd w:val="0"/>
        <w:spacing w:line="240" w:lineRule="auto"/>
        <w:rPr>
          <w:rFonts w:ascii="Calibri" w:hAnsi="Calibri" w:cs="TimesNewRomanPSMT"/>
          <w:b/>
        </w:rPr>
      </w:pPr>
      <w:r w:rsidRPr="00E2719E">
        <w:rPr>
          <w:rFonts w:ascii="Calibri" w:hAnsi="Calibri" w:cs="TimesNewRomanPSMT"/>
          <w:b/>
        </w:rPr>
        <w:t>Scoring Systems</w:t>
      </w:r>
      <w:r>
        <w:rPr>
          <w:rFonts w:ascii="Calibri" w:hAnsi="Calibri" w:cs="TimesNewRomanPSMT"/>
          <w:b/>
        </w:rPr>
        <w:t xml:space="preserve">: </w:t>
      </w:r>
    </w:p>
    <w:p w:rsidR="00811B39" w:rsidRDefault="00811B39" w:rsidP="00811B39">
      <w:pPr>
        <w:autoSpaceDE w:val="0"/>
        <w:autoSpaceDN w:val="0"/>
        <w:adjustRightInd w:val="0"/>
        <w:spacing w:line="276" w:lineRule="auto"/>
        <w:rPr>
          <w:rFonts w:ascii="Calibri" w:hAnsi="Calibri" w:cs="TimesNewRomanPSMT"/>
        </w:rPr>
      </w:pPr>
      <w:r>
        <w:rPr>
          <w:rFonts w:ascii="Calibri" w:hAnsi="Calibri" w:cs="TimesNewRomanPSMT"/>
        </w:rPr>
        <w:t>Public owners use a variety of evaluation scoring methods, ranging from quite simple to very sophisticated.  Scoring methods can yield numeric results or be more qualitative in their assessments.  All can be categorized into four types of methods:</w:t>
      </w:r>
    </w:p>
    <w:p w:rsidR="00811B39" w:rsidRDefault="00811B39" w:rsidP="00811B39">
      <w:pPr>
        <w:pStyle w:val="ListParagraph"/>
        <w:numPr>
          <w:ilvl w:val="0"/>
          <w:numId w:val="6"/>
        </w:numPr>
        <w:autoSpaceDE w:val="0"/>
        <w:autoSpaceDN w:val="0"/>
        <w:adjustRightInd w:val="0"/>
        <w:spacing w:line="240" w:lineRule="auto"/>
        <w:rPr>
          <w:rFonts w:ascii="Calibri" w:hAnsi="Calibri" w:cs="TimesNewRomanPSMT"/>
        </w:rPr>
      </w:pPr>
      <w:r>
        <w:rPr>
          <w:rFonts w:ascii="Calibri" w:hAnsi="Calibri" w:cs="TimesNewRomanPSMT"/>
        </w:rPr>
        <w:t>Satisficing (acceptable or not acceptable)</w:t>
      </w:r>
    </w:p>
    <w:p w:rsidR="00811B39" w:rsidRDefault="00811B39" w:rsidP="00811B39">
      <w:pPr>
        <w:pStyle w:val="ListParagraph"/>
        <w:numPr>
          <w:ilvl w:val="0"/>
          <w:numId w:val="6"/>
        </w:numPr>
        <w:autoSpaceDE w:val="0"/>
        <w:autoSpaceDN w:val="0"/>
        <w:adjustRightInd w:val="0"/>
        <w:spacing w:line="240" w:lineRule="auto"/>
        <w:rPr>
          <w:rFonts w:ascii="Calibri" w:hAnsi="Calibri" w:cs="TimesNewRomanPSMT"/>
        </w:rPr>
      </w:pPr>
      <w:r>
        <w:rPr>
          <w:rFonts w:ascii="Calibri" w:hAnsi="Calibri" w:cs="TimesNewRomanPSMT"/>
        </w:rPr>
        <w:t>Modified Satisficing (provides some distinction of acceptability)</w:t>
      </w:r>
    </w:p>
    <w:p w:rsidR="00811B39" w:rsidRDefault="00811B39" w:rsidP="00811B39">
      <w:pPr>
        <w:pStyle w:val="ListParagraph"/>
        <w:numPr>
          <w:ilvl w:val="0"/>
          <w:numId w:val="6"/>
        </w:numPr>
        <w:autoSpaceDE w:val="0"/>
        <w:autoSpaceDN w:val="0"/>
        <w:adjustRightInd w:val="0"/>
        <w:spacing w:line="240" w:lineRule="auto"/>
        <w:rPr>
          <w:rFonts w:ascii="Calibri" w:hAnsi="Calibri" w:cs="TimesNewRomanPSMT"/>
        </w:rPr>
      </w:pPr>
      <w:r>
        <w:rPr>
          <w:rFonts w:ascii="Calibri" w:hAnsi="Calibri" w:cs="TimesNewRomanPSMT"/>
        </w:rPr>
        <w:t>Adjectival Rating</w:t>
      </w:r>
    </w:p>
    <w:p w:rsidR="00811B39" w:rsidRDefault="00811B39" w:rsidP="00811B39">
      <w:pPr>
        <w:pStyle w:val="ListParagraph"/>
        <w:numPr>
          <w:ilvl w:val="0"/>
          <w:numId w:val="6"/>
        </w:numPr>
        <w:autoSpaceDE w:val="0"/>
        <w:autoSpaceDN w:val="0"/>
        <w:adjustRightInd w:val="0"/>
        <w:spacing w:line="240" w:lineRule="auto"/>
        <w:rPr>
          <w:rFonts w:ascii="Calibri" w:hAnsi="Calibri" w:cs="TimesNewRomanPSMT"/>
        </w:rPr>
      </w:pPr>
      <w:r>
        <w:rPr>
          <w:rFonts w:ascii="Calibri" w:hAnsi="Calibri" w:cs="TimesNewRomanPSMT"/>
        </w:rPr>
        <w:t>Direct Point Scoring</w:t>
      </w:r>
    </w:p>
    <w:p w:rsidR="00811B39" w:rsidRPr="00B272CB" w:rsidRDefault="00811B39" w:rsidP="00811B39">
      <w:pPr>
        <w:autoSpaceDE w:val="0"/>
        <w:autoSpaceDN w:val="0"/>
        <w:adjustRightInd w:val="0"/>
        <w:spacing w:line="240" w:lineRule="auto"/>
        <w:rPr>
          <w:rFonts w:ascii="Calibri" w:hAnsi="Calibri" w:cs="TimesNewRomanPSMT"/>
        </w:rPr>
      </w:pPr>
      <w:r>
        <w:rPr>
          <w:rFonts w:ascii="Calibri" w:hAnsi="Calibri" w:cs="TimesNewRomanPSMT"/>
        </w:rPr>
        <w:t xml:space="preserve">For descriptions of these types of scoring systems, refer to the </w:t>
      </w:r>
      <w:proofErr w:type="spellStart"/>
      <w:r w:rsidRPr="00F27480">
        <w:rPr>
          <w:rFonts w:ascii="Calibri" w:hAnsi="Calibri" w:cs="TimesNewRomanPSMT"/>
          <w:i/>
        </w:rPr>
        <w:t>AASHTO</w:t>
      </w:r>
      <w:proofErr w:type="spellEnd"/>
      <w:r w:rsidRPr="00F27480">
        <w:rPr>
          <w:rFonts w:ascii="Calibri" w:hAnsi="Calibri" w:cs="TimesNewRomanPSMT"/>
          <w:i/>
        </w:rPr>
        <w:t xml:space="preserve"> Guide for Design-Build Procurement</w:t>
      </w:r>
      <w:r>
        <w:rPr>
          <w:rFonts w:ascii="Calibri" w:hAnsi="Calibri" w:cs="TimesNewRomanPSMT"/>
        </w:rPr>
        <w:t>.</w:t>
      </w:r>
      <w:r>
        <w:rPr>
          <w:rStyle w:val="FootnoteReference"/>
          <w:rFonts w:ascii="Calibri" w:hAnsi="Calibri" w:cs="TimesNewRomanPSMT"/>
        </w:rPr>
        <w:footnoteReference w:customMarkFollows="1" w:id="3"/>
        <w:t>10</w:t>
      </w:r>
      <w:r>
        <w:rPr>
          <w:rFonts w:ascii="Calibri" w:hAnsi="Calibri" w:cs="TimesNewRomanPSMT"/>
        </w:rPr>
        <w:t xml:space="preserve">  Also </w:t>
      </w:r>
      <w:r w:rsidRPr="00922388">
        <w:rPr>
          <w:rFonts w:ascii="Calibri" w:hAnsi="Calibri" w:cs="TimesNewRomanPSMT"/>
        </w:rPr>
        <w:t xml:space="preserve">refer </w:t>
      </w:r>
      <w:r w:rsidRPr="00084F52">
        <w:rPr>
          <w:rFonts w:ascii="Calibri" w:hAnsi="Calibri" w:cs="TimesNewRomanPSMT"/>
        </w:rPr>
        <w:t>to Chapter</w:t>
      </w:r>
      <w:r>
        <w:rPr>
          <w:rFonts w:ascii="Calibri" w:hAnsi="Calibri" w:cs="TimesNewRomanPSMT"/>
        </w:rPr>
        <w:t xml:space="preserve"> 5, Section</w:t>
      </w:r>
      <w:r w:rsidRPr="00084F52">
        <w:rPr>
          <w:rFonts w:ascii="Calibri" w:hAnsi="Calibri" w:cs="TimesNewRomanPSMT"/>
        </w:rPr>
        <w:t xml:space="preserve"> 5.3.3.2</w:t>
      </w:r>
      <w:r>
        <w:rPr>
          <w:rFonts w:ascii="Calibri" w:hAnsi="Calibri" w:cs="TimesNewRomanPSMT"/>
        </w:rPr>
        <w:t>, “Design-Build Best Value Formula,” in this manual</w:t>
      </w:r>
      <w:r w:rsidRPr="00084F52">
        <w:rPr>
          <w:rFonts w:ascii="Calibri" w:hAnsi="Calibri" w:cs="TimesNewRomanPSMT"/>
        </w:rPr>
        <w:t xml:space="preserve"> </w:t>
      </w:r>
      <w:r w:rsidRPr="00922388">
        <w:rPr>
          <w:rFonts w:ascii="Calibri" w:hAnsi="Calibri" w:cs="TimesNewRomanPSMT"/>
        </w:rPr>
        <w:t xml:space="preserve">for </w:t>
      </w:r>
      <w:r>
        <w:rPr>
          <w:rFonts w:ascii="Calibri" w:hAnsi="Calibri" w:cs="TimesNewRomanPSMT"/>
        </w:rPr>
        <w:t>additional discussion of scoring procedures.</w:t>
      </w:r>
    </w:p>
    <w:p w:rsidR="00811B39" w:rsidRPr="008B1284" w:rsidRDefault="00811B39" w:rsidP="00811B39">
      <w:pPr>
        <w:autoSpaceDE w:val="0"/>
        <w:autoSpaceDN w:val="0"/>
        <w:adjustRightInd w:val="0"/>
        <w:spacing w:line="276" w:lineRule="auto"/>
        <w:rPr>
          <w:rFonts w:ascii="Calibri" w:hAnsi="Calibri" w:cs="TimesNewRomanPSMT"/>
        </w:rPr>
      </w:pPr>
      <w:proofErr w:type="spellStart"/>
      <w:r>
        <w:rPr>
          <w:rFonts w:ascii="Calibri" w:hAnsi="Calibri" w:cs="TimesNewRomanPSMT"/>
        </w:rPr>
        <w:t>CDOT</w:t>
      </w:r>
      <w:proofErr w:type="spellEnd"/>
      <w:r>
        <w:rPr>
          <w:rFonts w:ascii="Calibri" w:hAnsi="Calibri" w:cs="TimesNewRomanPSMT"/>
        </w:rPr>
        <w:t xml:space="preserve"> has determined traditionally to use an adjectival rating type of scoring methodology for Design-Build projects and has created a process that is repeatable and very successful. When a project team wishes to use an alternative to the adjectival rating system, it must gain approval from the Chief Engineer before proceeding. The adjectival rating methodology is described later in this section.</w:t>
      </w:r>
    </w:p>
    <w:p w:rsidR="00811B39" w:rsidRDefault="00811B39" w:rsidP="00811B39">
      <w:pPr>
        <w:tabs>
          <w:tab w:val="left" w:pos="2520"/>
        </w:tabs>
        <w:spacing w:line="276" w:lineRule="auto"/>
      </w:pPr>
      <w:bookmarkStart w:id="3" w:name="_Toc478291858"/>
      <w:bookmarkStart w:id="4" w:name="_Toc478292851"/>
      <w:bookmarkStart w:id="5" w:name="_Toc478292887"/>
      <w:r w:rsidRPr="00EE49E2">
        <w:rPr>
          <w:b/>
        </w:rPr>
        <w:t>Confidentiality and Non</w:t>
      </w:r>
      <w:r>
        <w:rPr>
          <w:b/>
        </w:rPr>
        <w:t>d</w:t>
      </w:r>
      <w:r w:rsidRPr="00EE49E2">
        <w:rPr>
          <w:b/>
        </w:rPr>
        <w:t>isclosure Agreement</w:t>
      </w:r>
      <w:r>
        <w:t xml:space="preserve">:  </w:t>
      </w:r>
    </w:p>
    <w:p w:rsidR="00811B39" w:rsidRPr="00EE49E2" w:rsidRDefault="00811B39" w:rsidP="00811B39">
      <w:pPr>
        <w:tabs>
          <w:tab w:val="left" w:pos="2520"/>
        </w:tabs>
        <w:spacing w:line="276" w:lineRule="auto"/>
      </w:pPr>
      <w:r w:rsidRPr="00EE49E2">
        <w:t>All</w:t>
      </w:r>
      <w:r>
        <w:t xml:space="preserve"> evaluation team members, technical advisors, and all other staff that are part of the process (except </w:t>
      </w:r>
      <w:proofErr w:type="spellStart"/>
      <w:r>
        <w:t>FHWA</w:t>
      </w:r>
      <w:proofErr w:type="spellEnd"/>
      <w:r>
        <w:t xml:space="preserve"> participants) should sign</w:t>
      </w:r>
      <w:r w:rsidRPr="00EE49E2">
        <w:t xml:space="preserve"> a Confidentiality and </w:t>
      </w:r>
      <w:r w:rsidRPr="00AE5DDD">
        <w:t xml:space="preserve">Nondisclosure </w:t>
      </w:r>
      <w:r w:rsidRPr="00EE49E2">
        <w:t xml:space="preserve">Agreement and Conflict of Interest Certificate </w:t>
      </w:r>
      <w:r>
        <w:t>prior to commencement of the</w:t>
      </w:r>
      <w:r w:rsidRPr="00EE49E2">
        <w:t xml:space="preserve"> evaluat</w:t>
      </w:r>
      <w:r>
        <w:t xml:space="preserve">ion process.  Anyone </w:t>
      </w:r>
      <w:r w:rsidRPr="00EE49E2">
        <w:t xml:space="preserve">who fails to </w:t>
      </w:r>
      <w:r>
        <w:t>sign</w:t>
      </w:r>
      <w:r w:rsidRPr="00EE49E2">
        <w:t xml:space="preserve"> </w:t>
      </w:r>
      <w:r>
        <w:t xml:space="preserve">the Certificate must be excluded from </w:t>
      </w:r>
      <w:r w:rsidRPr="00EE49E2">
        <w:t>participat</w:t>
      </w:r>
      <w:r>
        <w:t>ion</w:t>
      </w:r>
      <w:r w:rsidRPr="00EE49E2">
        <w:t xml:space="preserve"> i</w:t>
      </w:r>
      <w:r>
        <w:t>n the evaluation</w:t>
      </w:r>
      <w:r w:rsidRPr="00EE49E2">
        <w:t xml:space="preserve">. Indications of real, apparent, or possible conflicts of interest </w:t>
      </w:r>
      <w:r>
        <w:t xml:space="preserve">should </w:t>
      </w:r>
      <w:r w:rsidRPr="00EE49E2">
        <w:t xml:space="preserve">be </w:t>
      </w:r>
      <w:r>
        <w:t>resolved by the Project Director</w:t>
      </w:r>
      <w:r w:rsidRPr="00EE49E2">
        <w:t xml:space="preserve"> in accordance with </w:t>
      </w:r>
      <w:r>
        <w:t xml:space="preserve">the code of ethics for public employees established by </w:t>
      </w:r>
      <w:proofErr w:type="spellStart"/>
      <w:r>
        <w:t>C.R.S</w:t>
      </w:r>
      <w:proofErr w:type="spellEnd"/>
      <w:r>
        <w:t xml:space="preserve">. </w:t>
      </w:r>
      <w:r w:rsidRPr="00B25B96">
        <w:t>§</w:t>
      </w:r>
      <w:r>
        <w:t xml:space="preserve"> 24-18-109 (</w:t>
      </w:r>
      <w:hyperlink r:id="rId11" w:history="1">
        <w:r w:rsidRPr="008B5171">
          <w:rPr>
            <w:rStyle w:val="Hyperlink"/>
          </w:rPr>
          <w:t>http://www.lexisnexis.com/hottopics/colorado?app=00075&amp;view=full&amp;interface=1&amp;docinfo=off&amp;searchtype=get&amp;search=C.R.S.+24-18-109</w:t>
        </w:r>
      </w:hyperlink>
      <w:r>
        <w:t>)</w:t>
      </w:r>
      <w:r w:rsidRPr="00EE49E2">
        <w:t>. If the conflict cannot be resolved, the individual involv</w:t>
      </w:r>
      <w:r>
        <w:t xml:space="preserve">ed should be removed from the </w:t>
      </w:r>
      <w:r w:rsidRPr="00EE49E2">
        <w:t xml:space="preserve">evaluation process. Confidentiality and </w:t>
      </w:r>
      <w:r w:rsidRPr="00BC5550">
        <w:t xml:space="preserve">Nondisclosure </w:t>
      </w:r>
      <w:r w:rsidRPr="00EE49E2">
        <w:t xml:space="preserve">Agreements and Conflict of Interest Certificates </w:t>
      </w:r>
      <w:r>
        <w:t>must</w:t>
      </w:r>
      <w:r w:rsidRPr="00EE49E2">
        <w:t xml:space="preserve"> </w:t>
      </w:r>
      <w:r>
        <w:t xml:space="preserve">be retained as part of the </w:t>
      </w:r>
      <w:r w:rsidRPr="00EE49E2">
        <w:t xml:space="preserve">evaluation record. </w:t>
      </w:r>
      <w:r>
        <w:t xml:space="preserve"> </w:t>
      </w:r>
    </w:p>
    <w:bookmarkEnd w:id="3"/>
    <w:bookmarkEnd w:id="4"/>
    <w:bookmarkEnd w:id="5"/>
    <w:p w:rsidR="00811B39" w:rsidRDefault="00811B39" w:rsidP="00811B39">
      <w:pPr>
        <w:tabs>
          <w:tab w:val="left" w:pos="2520"/>
        </w:tabs>
        <w:spacing w:line="276" w:lineRule="auto"/>
      </w:pPr>
      <w:r w:rsidRPr="00EE49E2">
        <w:rPr>
          <w:b/>
        </w:rPr>
        <w:t>Security of the Work Area</w:t>
      </w:r>
      <w:r>
        <w:t xml:space="preserve">: </w:t>
      </w:r>
    </w:p>
    <w:p w:rsidR="00811B39" w:rsidRPr="00EE49E2" w:rsidRDefault="00811B39" w:rsidP="00811B39">
      <w:pPr>
        <w:tabs>
          <w:tab w:val="left" w:pos="2520"/>
        </w:tabs>
        <w:spacing w:line="276" w:lineRule="auto"/>
      </w:pPr>
      <w:r w:rsidRPr="00EE49E2">
        <w:t>Each memb</w:t>
      </w:r>
      <w:r>
        <w:t>er of the evaluation team should be issued one copy of each submittal.  When working with the</w:t>
      </w:r>
      <w:r w:rsidRPr="00EE49E2">
        <w:t xml:space="preserve"> evaluation</w:t>
      </w:r>
      <w:r>
        <w:t xml:space="preserve"> materials, members of the evaluation t</w:t>
      </w:r>
      <w:r w:rsidRPr="00EE49E2">
        <w:t xml:space="preserve">eam </w:t>
      </w:r>
      <w:r>
        <w:t xml:space="preserve">must </w:t>
      </w:r>
      <w:r w:rsidRPr="00EE49E2">
        <w:t xml:space="preserve">keep all of the materials under their direct control and </w:t>
      </w:r>
      <w:r>
        <w:t>secure them</w:t>
      </w:r>
      <w:r w:rsidRPr="00EE49E2">
        <w:t xml:space="preserve"> from </w:t>
      </w:r>
      <w:r>
        <w:t>others not associated with the evaluation t</w:t>
      </w:r>
      <w:r w:rsidRPr="00EE49E2">
        <w:t xml:space="preserve">eam. At all other times, the materials </w:t>
      </w:r>
      <w:r>
        <w:t>should</w:t>
      </w:r>
      <w:r w:rsidRPr="00EE49E2">
        <w:t xml:space="preserve"> be locked in a secured storage area/container. </w:t>
      </w:r>
      <w:r>
        <w:t>To retain confidentiality, the</w:t>
      </w:r>
      <w:r w:rsidRPr="00EE49E2">
        <w:t xml:space="preserve"> evaluation material </w:t>
      </w:r>
      <w:r>
        <w:t>should</w:t>
      </w:r>
      <w:r w:rsidRPr="00EE49E2">
        <w:t xml:space="preserve"> not be shared w</w:t>
      </w:r>
      <w:r>
        <w:t>ith any persons outside of the evaluation t</w:t>
      </w:r>
      <w:r w:rsidRPr="00EE49E2">
        <w:t xml:space="preserve">eam. </w:t>
      </w:r>
    </w:p>
    <w:p w:rsidR="00811B39" w:rsidRPr="00EE49E2" w:rsidRDefault="00811B39" w:rsidP="00811B39">
      <w:pPr>
        <w:tabs>
          <w:tab w:val="left" w:pos="2520"/>
        </w:tabs>
        <w:spacing w:line="276" w:lineRule="auto"/>
      </w:pPr>
      <w:r w:rsidRPr="00EE49E2">
        <w:t>When using computers, fi</w:t>
      </w:r>
      <w:r>
        <w:t>les should</w:t>
      </w:r>
      <w:r w:rsidRPr="00EE49E2">
        <w:t xml:space="preserve"> not be stored on </w:t>
      </w:r>
      <w:r w:rsidRPr="00660CDA">
        <w:t>non-removable</w:t>
      </w:r>
      <w:r w:rsidRPr="00EE49E2">
        <w:t xml:space="preserve"> hard disks. All computer-generated data should be stored on CDs or removable USB </w:t>
      </w:r>
      <w:r>
        <w:t>flash drives</w:t>
      </w:r>
      <w:r w:rsidRPr="00EE49E2">
        <w:t xml:space="preserve"> and</w:t>
      </w:r>
      <w:r>
        <w:t xml:space="preserve"> secured with the </w:t>
      </w:r>
      <w:r w:rsidRPr="00EE49E2">
        <w:t xml:space="preserve">evaluation material. </w:t>
      </w:r>
    </w:p>
    <w:p w:rsidR="00811B39" w:rsidRPr="004A2CCC" w:rsidRDefault="00811B39" w:rsidP="00811B39">
      <w:pPr>
        <w:tabs>
          <w:tab w:val="left" w:pos="2520"/>
        </w:tabs>
        <w:spacing w:line="276" w:lineRule="auto"/>
      </w:pPr>
      <w:r>
        <w:t xml:space="preserve">A </w:t>
      </w:r>
      <w:r w:rsidRPr="00EE49E2">
        <w:t>private meeting room</w:t>
      </w:r>
      <w:r>
        <w:t xml:space="preserve"> should be provided</w:t>
      </w:r>
      <w:r w:rsidRPr="00EE49E2">
        <w:t xml:space="preserve"> for all </w:t>
      </w:r>
      <w:proofErr w:type="spellStart"/>
      <w:r w:rsidRPr="00EE49E2">
        <w:t>SOQ</w:t>
      </w:r>
      <w:proofErr w:type="spellEnd"/>
      <w:r>
        <w:t>/Proposal</w:t>
      </w:r>
      <w:r w:rsidRPr="00EE49E2">
        <w:t xml:space="preserve"> reviews, evaluations, and discussions pertaini</w:t>
      </w:r>
      <w:r>
        <w:t>ng to the evaluation</w:t>
      </w:r>
      <w:r w:rsidRPr="00EE49E2">
        <w:t xml:space="preserve">. </w:t>
      </w:r>
      <w:r>
        <w:t xml:space="preserve">Only the evaluation team should be authorized admittance to the meeting room </w:t>
      </w:r>
      <w:r w:rsidRPr="00EE49E2">
        <w:t xml:space="preserve">when evaluations are taking place. </w:t>
      </w:r>
    </w:p>
    <w:p w:rsidR="00811B39" w:rsidRDefault="00811B39" w:rsidP="00811B39">
      <w:pPr>
        <w:tabs>
          <w:tab w:val="left" w:pos="2520"/>
        </w:tabs>
      </w:pPr>
      <w:r w:rsidRPr="004A2CCC">
        <w:rPr>
          <w:b/>
        </w:rPr>
        <w:t>Document Control:</w:t>
      </w:r>
      <w:r>
        <w:t xml:space="preserve"> </w:t>
      </w:r>
    </w:p>
    <w:p w:rsidR="00811B39" w:rsidRDefault="00811B39" w:rsidP="00811B39">
      <w:pPr>
        <w:tabs>
          <w:tab w:val="left" w:pos="2520"/>
        </w:tabs>
        <w:spacing w:line="276" w:lineRule="auto"/>
      </w:pPr>
      <w:r>
        <w:t>The evaluation materials</w:t>
      </w:r>
      <w:r w:rsidRPr="00EE49E2">
        <w:t xml:space="preserve"> and all </w:t>
      </w:r>
      <w:r>
        <w:t>documentation developed by the evaluation team, and notes taken by evaluators, should</w:t>
      </w:r>
      <w:r w:rsidRPr="00EE49E2">
        <w:t xml:space="preserve"> be kept confident</w:t>
      </w:r>
      <w:r>
        <w:t>ial.  All documentation should</w:t>
      </w:r>
      <w:r w:rsidRPr="00EE49E2">
        <w:t xml:space="preserve"> be kept secured at the end of each working day and/or at all other times that it is not under the direct control of authorized personnel. At the conclusion of the evaluation process, member</w:t>
      </w:r>
      <w:r>
        <w:t>s of the evaluation team should</w:t>
      </w:r>
      <w:r w:rsidRPr="00EE49E2">
        <w:t xml:space="preserve"> not be permitted to retain any work papers or any part of the </w:t>
      </w:r>
      <w:proofErr w:type="spellStart"/>
      <w:r>
        <w:t>SOQs</w:t>
      </w:r>
      <w:proofErr w:type="spellEnd"/>
      <w:r>
        <w:t>/Proposals.</w:t>
      </w:r>
    </w:p>
    <w:p w:rsidR="00811B39" w:rsidRDefault="00811B39" w:rsidP="00811B39">
      <w:pPr>
        <w:spacing w:line="276" w:lineRule="auto"/>
      </w:pPr>
      <w:r w:rsidRPr="00BC4343">
        <w:rPr>
          <w:b/>
        </w:rPr>
        <w:t>Evaluation Team</w:t>
      </w:r>
      <w:r>
        <w:t>:</w:t>
      </w:r>
    </w:p>
    <w:p w:rsidR="00811B39" w:rsidRDefault="00811B39" w:rsidP="00811B39">
      <w:pPr>
        <w:spacing w:line="276" w:lineRule="auto"/>
      </w:pPr>
      <w:r>
        <w:t xml:space="preserve"> A chairperson is appointed to lead the evaluation process. Often the Project Director serves as the evaluation team chairperson.  </w:t>
      </w:r>
      <w:r w:rsidRPr="00EE49E2">
        <w:t xml:space="preserve">The </w:t>
      </w:r>
      <w:r>
        <w:t>c</w:t>
      </w:r>
      <w:r w:rsidRPr="00EE49E2">
        <w:t xml:space="preserve">hairperson is responsible for ensuring the timely progress of the evaluation, coordinating any consensus meeting(s) or </w:t>
      </w:r>
      <w:r>
        <w:t>re</w:t>
      </w:r>
      <w:r w:rsidRPr="00EE49E2">
        <w:t>evaluations, and ensuring that appropriate records of the evaluation are maintained.</w:t>
      </w:r>
      <w:r>
        <w:t xml:space="preserve">  The chairperson</w:t>
      </w:r>
      <w:r w:rsidRPr="00EE49E2">
        <w:t xml:space="preserve"> serve</w:t>
      </w:r>
      <w:r>
        <w:t>s</w:t>
      </w:r>
      <w:r w:rsidRPr="00EE49E2">
        <w:t xml:space="preserve"> as a point of contact i</w:t>
      </w:r>
      <w:r>
        <w:t xml:space="preserve">f an evaluator has questions or </w:t>
      </w:r>
      <w:r w:rsidRPr="00EE49E2">
        <w:t>encounters problems relative to the evaluati</w:t>
      </w:r>
      <w:r>
        <w:t xml:space="preserve">ons. The chairperson also </w:t>
      </w:r>
      <w:r w:rsidRPr="00EE49E2">
        <w:t>coordinate</w:t>
      </w:r>
      <w:r>
        <w:t>s</w:t>
      </w:r>
      <w:r w:rsidRPr="00EE49E2">
        <w:t xml:space="preserve"> and f</w:t>
      </w:r>
      <w:r>
        <w:t>acilitates the participation of t</w:t>
      </w:r>
      <w:r w:rsidRPr="00EE49E2">
        <w:t xml:space="preserve">echnical </w:t>
      </w:r>
      <w:r>
        <w:t>advisors and o</w:t>
      </w:r>
      <w:r w:rsidRPr="00EE49E2">
        <w:t>bservers, as may be necessary during the course of the evaluation process.</w:t>
      </w:r>
      <w:r>
        <w:t xml:space="preserve"> </w:t>
      </w:r>
    </w:p>
    <w:p w:rsidR="00811B39" w:rsidRPr="00BC4343" w:rsidRDefault="00811B39" w:rsidP="00811B39">
      <w:pPr>
        <w:spacing w:line="276" w:lineRule="auto"/>
      </w:pPr>
      <w:r w:rsidRPr="00045C33">
        <w:t xml:space="preserve">Though the </w:t>
      </w:r>
      <w:r>
        <w:t>c</w:t>
      </w:r>
      <w:r w:rsidRPr="00045C33">
        <w:t xml:space="preserve">hairperson </w:t>
      </w:r>
      <w:r>
        <w:t>should</w:t>
      </w:r>
      <w:r w:rsidRPr="00045C33">
        <w:t xml:space="preserve"> facilitate the evaluation committee process, he or she cannot participate in the actual evaluation scoring process.  This rule is of particular importance if the chairperson is the </w:t>
      </w:r>
      <w:r>
        <w:t>P</w:t>
      </w:r>
      <w:r w:rsidRPr="00045C33">
        <w:t xml:space="preserve">roject </w:t>
      </w:r>
      <w:r>
        <w:t>D</w:t>
      </w:r>
      <w:r w:rsidRPr="00045C33">
        <w:t xml:space="preserve">irector </w:t>
      </w:r>
      <w:r>
        <w:t>because</w:t>
      </w:r>
      <w:r w:rsidRPr="00045C33">
        <w:t xml:space="preserve"> it insulates the </w:t>
      </w:r>
      <w:r>
        <w:t>P</w:t>
      </w:r>
      <w:r w:rsidRPr="00045C33">
        <w:t xml:space="preserve">roject </w:t>
      </w:r>
      <w:r>
        <w:t>D</w:t>
      </w:r>
      <w:r w:rsidRPr="00045C33">
        <w:t xml:space="preserve">irector from conflict of interest with the future administration of the project with the selected </w:t>
      </w:r>
      <w:r>
        <w:t>Design-Build</w:t>
      </w:r>
      <w:r w:rsidRPr="00045C33">
        <w:t xml:space="preserve"> team. If the evaluation team is supported by technical advisory committees, it</w:t>
      </w:r>
      <w:r>
        <w:t xml:space="preserve"> is often</w:t>
      </w:r>
      <w:r w:rsidRPr="00045C33">
        <w:t xml:space="preserve"> beneficial </w:t>
      </w:r>
      <w:r>
        <w:t>to allow</w:t>
      </w:r>
      <w:r w:rsidRPr="00045C33">
        <w:t xml:space="preserve"> the </w:t>
      </w:r>
      <w:r>
        <w:t>P</w:t>
      </w:r>
      <w:r w:rsidRPr="00045C33">
        <w:t xml:space="preserve">roject </w:t>
      </w:r>
      <w:r>
        <w:t>D</w:t>
      </w:r>
      <w:r w:rsidRPr="00045C33">
        <w:t>irector/</w:t>
      </w:r>
      <w:r>
        <w:t>c</w:t>
      </w:r>
      <w:r w:rsidRPr="00045C33">
        <w:t xml:space="preserve">hairperson to participate as a technical advisor </w:t>
      </w:r>
      <w:r>
        <w:t>who</w:t>
      </w:r>
      <w:r w:rsidRPr="00045C33">
        <w:t xml:space="preserve"> can offer valuable technical project knowledge i</w:t>
      </w:r>
      <w:r>
        <w:t>n</w:t>
      </w:r>
      <w:r w:rsidRPr="00045C33">
        <w:t xml:space="preserve"> assessing proposers’ strengths and weaknesses. But the chairperson’s advice must not extend to the actual scoring of the </w:t>
      </w:r>
      <w:r>
        <w:t>P</w:t>
      </w:r>
      <w:r w:rsidRPr="00045C33">
        <w:t>roposals</w:t>
      </w:r>
      <w:r>
        <w:t>.  Though not a scorer, the chairperson’s responsibilities as the primary facilitator of the process requires the chairperson to be intimately familiar with the Proposals.</w:t>
      </w:r>
    </w:p>
    <w:p w:rsidR="00811B39" w:rsidRPr="00EE49E2" w:rsidRDefault="00811B39" w:rsidP="00811B39">
      <w:pPr>
        <w:spacing w:line="276" w:lineRule="auto"/>
      </w:pPr>
      <w:r>
        <w:t>Each e</w:t>
      </w:r>
      <w:r w:rsidRPr="00EE49E2">
        <w:t xml:space="preserve">valuator </w:t>
      </w:r>
      <w:r>
        <w:t>should</w:t>
      </w:r>
      <w:r w:rsidRPr="00EE49E2">
        <w:t xml:space="preserve"> review the </w:t>
      </w:r>
      <w:r>
        <w:t>Request for Qualifications (</w:t>
      </w:r>
      <w:proofErr w:type="spellStart"/>
      <w:r w:rsidRPr="00EE49E2">
        <w:t>RFQ</w:t>
      </w:r>
      <w:proofErr w:type="spellEnd"/>
      <w:r>
        <w:t>)</w:t>
      </w:r>
      <w:r w:rsidRPr="00EE49E2">
        <w:t xml:space="preserve"> </w:t>
      </w:r>
      <w:r>
        <w:t xml:space="preserve">/Request for Proposal (RFP) </w:t>
      </w:r>
      <w:r w:rsidRPr="00EE49E2">
        <w:t xml:space="preserve">and </w:t>
      </w:r>
      <w:proofErr w:type="spellStart"/>
      <w:r w:rsidRPr="00EE49E2">
        <w:t>SOQ</w:t>
      </w:r>
      <w:proofErr w:type="spellEnd"/>
      <w:r>
        <w:t>/Proposal</w:t>
      </w:r>
      <w:r w:rsidRPr="00EE49E2">
        <w:t xml:space="preserve"> </w:t>
      </w:r>
      <w:r>
        <w:t>e</w:t>
      </w:r>
      <w:r w:rsidRPr="00EE49E2">
        <w:t>valua</w:t>
      </w:r>
      <w:r>
        <w:t>tion procedure prior to the evaluation kick-o</w:t>
      </w:r>
      <w:r w:rsidRPr="00EE49E2">
        <w:t xml:space="preserve">ff </w:t>
      </w:r>
      <w:r>
        <w:t>meeting. Any questions that an e</w:t>
      </w:r>
      <w:r w:rsidRPr="00EE49E2">
        <w:t>valuator may have regarding the evaluation criteria or proce</w:t>
      </w:r>
      <w:r>
        <w:t xml:space="preserve">ss should be raised at the </w:t>
      </w:r>
      <w:proofErr w:type="spellStart"/>
      <w:r>
        <w:t>SOQ</w:t>
      </w:r>
      <w:proofErr w:type="spellEnd"/>
      <w:r>
        <w:t xml:space="preserve"> e</w:t>
      </w:r>
      <w:r w:rsidRPr="00EE49E2">
        <w:t xml:space="preserve">valuation </w:t>
      </w:r>
      <w:r>
        <w:t>kick-o</w:t>
      </w:r>
      <w:r w:rsidRPr="00EE49E2">
        <w:t xml:space="preserve">ff meeting. </w:t>
      </w:r>
    </w:p>
    <w:p w:rsidR="00811B39" w:rsidRPr="007F1933" w:rsidRDefault="00811B39" w:rsidP="00811B39">
      <w:pPr>
        <w:spacing w:line="276" w:lineRule="auto"/>
      </w:pPr>
      <w:r>
        <w:t>Each e</w:t>
      </w:r>
      <w:r w:rsidRPr="00EE49E2">
        <w:t>valuator review</w:t>
      </w:r>
      <w:r>
        <w:t>s</w:t>
      </w:r>
      <w:r w:rsidRPr="00EE49E2">
        <w:t xml:space="preserve"> and assess</w:t>
      </w:r>
      <w:r>
        <w:t>es</w:t>
      </w:r>
      <w:r w:rsidRPr="00EE49E2">
        <w:t xml:space="preserve"> individual </w:t>
      </w:r>
      <w:proofErr w:type="spellStart"/>
      <w:r w:rsidRPr="00EE49E2">
        <w:t>SOQs</w:t>
      </w:r>
      <w:proofErr w:type="spellEnd"/>
      <w:r>
        <w:t>/Proposals</w:t>
      </w:r>
      <w:r w:rsidRPr="00EE49E2">
        <w:t xml:space="preserve"> using the overall criteria set forth in the evaluation manual</w:t>
      </w:r>
      <w:r>
        <w:t xml:space="preserve"> and records observations using provided evaluation forms. </w:t>
      </w:r>
      <w:r w:rsidRPr="00EE49E2">
        <w:t xml:space="preserve">The evaluation forms </w:t>
      </w:r>
      <w:r>
        <w:t>are</w:t>
      </w:r>
      <w:r w:rsidRPr="00EE49E2">
        <w:t xml:space="preserve"> completed in a manner that </w:t>
      </w:r>
      <w:r>
        <w:t>substantiates the basis of each e</w:t>
      </w:r>
      <w:r w:rsidRPr="00EE49E2">
        <w:t xml:space="preserve">valuator’s assessment, including the strengths and weaknesses supporting the assigned ratings. Reasoning for strengths and weaknesses should be specific and not </w:t>
      </w:r>
      <w:r>
        <w:t>rely on</w:t>
      </w:r>
      <w:r w:rsidRPr="00EE49E2">
        <w:t xml:space="preserve"> generalization</w:t>
      </w:r>
      <w:r>
        <w:t>s</w:t>
      </w:r>
      <w:r w:rsidRPr="00EE49E2">
        <w:t>.</w:t>
      </w:r>
      <w:r>
        <w:t xml:space="preserve"> Well-documented evaluation forms assist in debriefing the unsuccessful submitters and validate the selection process.</w:t>
      </w:r>
    </w:p>
    <w:p w:rsidR="00811B39" w:rsidRPr="00EE49E2" w:rsidRDefault="00811B39" w:rsidP="00811B39">
      <w:pPr>
        <w:spacing w:line="276" w:lineRule="auto"/>
      </w:pPr>
      <w:r>
        <w:t>The chairperson may request that technical ad</w:t>
      </w:r>
      <w:r w:rsidRPr="00EE49E2">
        <w:t xml:space="preserve">visors review the </w:t>
      </w:r>
      <w:proofErr w:type="spellStart"/>
      <w:r w:rsidRPr="00EE49E2">
        <w:t>SOQs</w:t>
      </w:r>
      <w:proofErr w:type="spellEnd"/>
      <w:r>
        <w:t>/Proposals and attend the evaluation c</w:t>
      </w:r>
      <w:r w:rsidRPr="00EE49E2">
        <w:t xml:space="preserve">oordination meeting. </w:t>
      </w:r>
      <w:r>
        <w:t>The technical a</w:t>
      </w:r>
      <w:r w:rsidRPr="00EE49E2">
        <w:t>dvisors provide input to t</w:t>
      </w:r>
      <w:r>
        <w:t>he evaluation c</w:t>
      </w:r>
      <w:r w:rsidRPr="00EE49E2">
        <w:t>o</w:t>
      </w:r>
      <w:r>
        <w:t xml:space="preserve">mmittee associated with the </w:t>
      </w:r>
      <w:r w:rsidRPr="00EE49E2">
        <w:t>ev</w:t>
      </w:r>
      <w:r>
        <w:t>aluations, but they do not score the submittals</w:t>
      </w:r>
      <w:r w:rsidRPr="00EE49E2">
        <w:t xml:space="preserve">. </w:t>
      </w:r>
    </w:p>
    <w:p w:rsidR="00811B39" w:rsidRPr="00EE49E2" w:rsidRDefault="00811B39" w:rsidP="00811B39">
      <w:pPr>
        <w:spacing w:line="276" w:lineRule="auto"/>
      </w:pPr>
      <w:r w:rsidRPr="00EE49E2">
        <w:t xml:space="preserve">The </w:t>
      </w:r>
      <w:r>
        <w:t>c</w:t>
      </w:r>
      <w:r w:rsidRPr="00EE49E2">
        <w:t>hai</w:t>
      </w:r>
      <w:r>
        <w:t>rperson may choose to identify observers to view the</w:t>
      </w:r>
      <w:r w:rsidRPr="00EE49E2">
        <w:t xml:space="preserve"> evaluation process. </w:t>
      </w:r>
      <w:r>
        <w:t>The o</w:t>
      </w:r>
      <w:r w:rsidRPr="00EE49E2">
        <w:t xml:space="preserve">bservers may review the </w:t>
      </w:r>
      <w:r>
        <w:t>submittals and evaluation p</w:t>
      </w:r>
      <w:r w:rsidRPr="00EE49E2">
        <w:t xml:space="preserve">rocedures and </w:t>
      </w:r>
      <w:r>
        <w:t>may attend any e</w:t>
      </w:r>
      <w:r w:rsidRPr="00EE49E2">
        <w:t>valuation meeting, but</w:t>
      </w:r>
      <w:r>
        <w:t xml:space="preserve"> they do not provide input to the e</w:t>
      </w:r>
      <w:r w:rsidRPr="00EE49E2">
        <w:t xml:space="preserve">valuation </w:t>
      </w:r>
      <w:r>
        <w:t>c</w:t>
      </w:r>
      <w:r w:rsidRPr="00EE49E2">
        <w:t xml:space="preserve">ommittee regarding the evaluation process. </w:t>
      </w:r>
    </w:p>
    <w:p w:rsidR="00811B39" w:rsidRDefault="00811B39" w:rsidP="00811B39">
      <w:pPr>
        <w:spacing w:line="276" w:lineRule="auto"/>
      </w:pPr>
      <w:r w:rsidRPr="00D500C2">
        <w:rPr>
          <w:b/>
        </w:rPr>
        <w:t>Evaluation Procedures</w:t>
      </w:r>
      <w:r>
        <w:t xml:space="preserve">:  </w:t>
      </w:r>
    </w:p>
    <w:p w:rsidR="00811B39" w:rsidRPr="00D500C2" w:rsidRDefault="00811B39" w:rsidP="00811B39">
      <w:pPr>
        <w:spacing w:line="276" w:lineRule="auto"/>
      </w:pPr>
      <w:r>
        <w:t>Evaluation procedures typically include the following elements:</w:t>
      </w:r>
      <w:r w:rsidRPr="00EE49E2">
        <w:t xml:space="preserve"> </w:t>
      </w:r>
    </w:p>
    <w:p w:rsidR="00811B39" w:rsidRPr="00EE49E2" w:rsidRDefault="00811B39" w:rsidP="00811B39">
      <w:pPr>
        <w:numPr>
          <w:ilvl w:val="0"/>
          <w:numId w:val="4"/>
        </w:numPr>
        <w:spacing w:line="276" w:lineRule="auto"/>
      </w:pPr>
      <w:r w:rsidRPr="00EE49E2">
        <w:t xml:space="preserve">The </w:t>
      </w:r>
      <w:proofErr w:type="spellStart"/>
      <w:r w:rsidRPr="00EE49E2">
        <w:t>RFQ</w:t>
      </w:r>
      <w:proofErr w:type="spellEnd"/>
      <w:r>
        <w:t>/RFP</w:t>
      </w:r>
      <w:r w:rsidRPr="00EE49E2">
        <w:t xml:space="preserve">, </w:t>
      </w:r>
      <w:proofErr w:type="spellStart"/>
      <w:r w:rsidRPr="00EE49E2">
        <w:t>SO</w:t>
      </w:r>
      <w:r>
        <w:t>Qs</w:t>
      </w:r>
      <w:proofErr w:type="spellEnd"/>
      <w:r>
        <w:t>/Proposals,</w:t>
      </w:r>
      <w:r w:rsidRPr="00EE49E2">
        <w:t xml:space="preserve"> </w:t>
      </w:r>
      <w:r>
        <w:t>and e</w:t>
      </w:r>
      <w:r w:rsidRPr="00EE49E2">
        <w:t xml:space="preserve">valuation </w:t>
      </w:r>
      <w:r>
        <w:t>p</w:t>
      </w:r>
      <w:r w:rsidRPr="00EE49E2">
        <w:t>rocedures</w:t>
      </w:r>
      <w:r>
        <w:t xml:space="preserve"> are reviewed with the evaluation committee and technical advisors at the evaluation kick-o</w:t>
      </w:r>
      <w:r w:rsidRPr="00EE49E2">
        <w:t>ff meeting.</w:t>
      </w:r>
    </w:p>
    <w:p w:rsidR="00811B39" w:rsidRPr="00EE49E2" w:rsidRDefault="00811B39" w:rsidP="00811B39">
      <w:pPr>
        <w:numPr>
          <w:ilvl w:val="0"/>
          <w:numId w:val="4"/>
        </w:numPr>
        <w:spacing w:line="276" w:lineRule="auto"/>
      </w:pPr>
      <w:r>
        <w:t>Each e</w:t>
      </w:r>
      <w:r w:rsidRPr="00EE49E2">
        <w:t>valuator determine</w:t>
      </w:r>
      <w:r>
        <w:t>s</w:t>
      </w:r>
      <w:r w:rsidRPr="00EE49E2">
        <w:t xml:space="preserve"> strengths and weaknesses, if any, of each </w:t>
      </w:r>
      <w:proofErr w:type="spellStart"/>
      <w:r w:rsidRPr="00EE49E2">
        <w:t>SOQ</w:t>
      </w:r>
      <w:proofErr w:type="spellEnd"/>
      <w:r>
        <w:t>/Proposal</w:t>
      </w:r>
      <w:r w:rsidRPr="00EE49E2">
        <w:t xml:space="preserve"> and record</w:t>
      </w:r>
      <w:r>
        <w:t>s assessments</w:t>
      </w:r>
      <w:r w:rsidRPr="00EE49E2">
        <w:t xml:space="preserve"> on</w:t>
      </w:r>
      <w:r>
        <w:t xml:space="preserve"> forms included in the evaluation plan</w:t>
      </w:r>
      <w:r w:rsidRPr="00EE49E2">
        <w:t xml:space="preserve">. </w:t>
      </w:r>
    </w:p>
    <w:p w:rsidR="00811B39" w:rsidRPr="00EE49E2" w:rsidRDefault="00811B39" w:rsidP="00811B39">
      <w:pPr>
        <w:numPr>
          <w:ilvl w:val="0"/>
          <w:numId w:val="4"/>
        </w:numPr>
        <w:spacing w:line="276" w:lineRule="auto"/>
      </w:pPr>
      <w:r w:rsidRPr="00EE49E2">
        <w:t xml:space="preserve">Each </w:t>
      </w:r>
      <w:r>
        <w:t>e</w:t>
      </w:r>
      <w:r w:rsidRPr="00EE49E2">
        <w:t>valuator then determine</w:t>
      </w:r>
      <w:r>
        <w:t>s</w:t>
      </w:r>
      <w:r w:rsidRPr="00EE49E2">
        <w:t xml:space="preserve"> an adjectival rating for each evaluation category using </w:t>
      </w:r>
      <w:r>
        <w:t>the</w:t>
      </w:r>
      <w:r w:rsidRPr="00D6716B">
        <w:t xml:space="preserve"> </w:t>
      </w:r>
      <w:r>
        <w:t>a</w:t>
      </w:r>
      <w:r w:rsidRPr="00F27480">
        <w:t xml:space="preserve">djectival </w:t>
      </w:r>
      <w:r>
        <w:t>e</w:t>
      </w:r>
      <w:r w:rsidRPr="00F27480">
        <w:t xml:space="preserve">valuation and </w:t>
      </w:r>
      <w:r>
        <w:t>s</w:t>
      </w:r>
      <w:r w:rsidRPr="00F27480">
        <w:t xml:space="preserve">coring </w:t>
      </w:r>
      <w:r>
        <w:t>g</w:t>
      </w:r>
      <w:r w:rsidRPr="00F27480">
        <w:t>uide</w:t>
      </w:r>
      <w:r>
        <w:t xml:space="preserve"> presented in Table 6-1</w:t>
      </w:r>
      <w:r w:rsidRPr="00EE49E2">
        <w:t xml:space="preserve"> and record</w:t>
      </w:r>
      <w:r>
        <w:t>s</w:t>
      </w:r>
      <w:r w:rsidRPr="00EE49E2">
        <w:t xml:space="preserve"> the rating</w:t>
      </w:r>
      <w:r>
        <w:t>s</w:t>
      </w:r>
      <w:r w:rsidRPr="00EE49E2">
        <w:t xml:space="preserve"> on</w:t>
      </w:r>
      <w:r>
        <w:t xml:space="preserve"> a form provided</w:t>
      </w:r>
      <w:r w:rsidRPr="00EE49E2">
        <w:t xml:space="preserve"> </w:t>
      </w:r>
      <w:r>
        <w:t>in the evaluation plan</w:t>
      </w:r>
      <w:r w:rsidRPr="00EE49E2">
        <w:t xml:space="preserve">. </w:t>
      </w:r>
    </w:p>
    <w:p w:rsidR="00811B39" w:rsidRPr="00EE49E2" w:rsidRDefault="00811B39" w:rsidP="00811B39">
      <w:pPr>
        <w:numPr>
          <w:ilvl w:val="0"/>
          <w:numId w:val="4"/>
        </w:numPr>
        <w:spacing w:line="276" w:lineRule="auto"/>
      </w:pPr>
      <w:r w:rsidRPr="00EE49E2">
        <w:t xml:space="preserve">Each </w:t>
      </w:r>
      <w:r>
        <w:t>e</w:t>
      </w:r>
      <w:r w:rsidRPr="00EE49E2">
        <w:t>valuator determine</w:t>
      </w:r>
      <w:r>
        <w:t>s</w:t>
      </w:r>
      <w:r w:rsidRPr="00EE49E2">
        <w:t xml:space="preserve"> a numerical score for each category based upon the category adjectival rating. </w:t>
      </w:r>
      <w:r w:rsidRPr="00F27480">
        <w:t xml:space="preserve">Table </w:t>
      </w:r>
      <w:r>
        <w:t>6-</w:t>
      </w:r>
      <w:r w:rsidRPr="00F27480">
        <w:t>1</w:t>
      </w:r>
      <w:r w:rsidRPr="00EE49E2">
        <w:t xml:space="preserve"> provides a range of percentages available for each adjectival rating. </w:t>
      </w:r>
    </w:p>
    <w:p w:rsidR="00811B39" w:rsidRPr="00EE49E2" w:rsidRDefault="00811B39" w:rsidP="00811B39">
      <w:pPr>
        <w:numPr>
          <w:ilvl w:val="0"/>
          <w:numId w:val="4"/>
        </w:numPr>
        <w:spacing w:line="276" w:lineRule="auto"/>
      </w:pPr>
      <w:r>
        <w:t xml:space="preserve">The evaluation committee and technical advisors (and observers, if applicable) </w:t>
      </w:r>
      <w:r w:rsidRPr="00EE49E2">
        <w:t xml:space="preserve">meet and discuss the submitted </w:t>
      </w:r>
      <w:proofErr w:type="spellStart"/>
      <w:r w:rsidRPr="00EE49E2">
        <w:t>SOQs</w:t>
      </w:r>
      <w:proofErr w:type="spellEnd"/>
      <w:r>
        <w:t>/Proposals</w:t>
      </w:r>
      <w:r w:rsidRPr="00EE49E2">
        <w:t xml:space="preserve"> and the eva</w:t>
      </w:r>
      <w:r>
        <w:t>luation forms developed by the e</w:t>
      </w:r>
      <w:r w:rsidRPr="00EE49E2">
        <w:t xml:space="preserve">valuators. </w:t>
      </w:r>
      <w:r>
        <w:rPr>
          <w:shd w:val="clear" w:color="auto" w:fill="FFFFFF" w:themeFill="background1"/>
        </w:rPr>
        <w:t>The technical a</w:t>
      </w:r>
      <w:r w:rsidRPr="00EE49E2">
        <w:rPr>
          <w:shd w:val="clear" w:color="auto" w:fill="FFFFFF" w:themeFill="background1"/>
        </w:rPr>
        <w:t>dvisors</w:t>
      </w:r>
      <w:r>
        <w:t xml:space="preserve"> support and assist the evaluators on the evaluation c</w:t>
      </w:r>
      <w:r w:rsidRPr="00EE49E2">
        <w:t xml:space="preserve">ommittee in connection with their review and scoring of the </w:t>
      </w:r>
      <w:proofErr w:type="spellStart"/>
      <w:r w:rsidRPr="00EE49E2">
        <w:t>SOQs</w:t>
      </w:r>
      <w:proofErr w:type="spellEnd"/>
      <w:r>
        <w:t>/Proposals</w:t>
      </w:r>
      <w:r w:rsidRPr="00EE49E2">
        <w:t xml:space="preserve">, but </w:t>
      </w:r>
      <w:r>
        <w:t>technical advisors do</w:t>
      </w:r>
      <w:r w:rsidRPr="00EE49E2">
        <w:t xml:space="preserve"> not individually or independently score any </w:t>
      </w:r>
      <w:proofErr w:type="spellStart"/>
      <w:r w:rsidRPr="00EE49E2">
        <w:t>SOQ</w:t>
      </w:r>
      <w:proofErr w:type="spellEnd"/>
      <w:r>
        <w:t>/Proposal</w:t>
      </w:r>
      <w:r w:rsidRPr="00EE49E2">
        <w:t>.</w:t>
      </w:r>
    </w:p>
    <w:p w:rsidR="00811B39" w:rsidRPr="00EE49E2" w:rsidRDefault="00811B39" w:rsidP="00811B39">
      <w:pPr>
        <w:numPr>
          <w:ilvl w:val="0"/>
          <w:numId w:val="4"/>
        </w:numPr>
        <w:spacing w:line="276" w:lineRule="auto"/>
      </w:pPr>
      <w:r w:rsidRPr="00EE49E2">
        <w:t xml:space="preserve">The </w:t>
      </w:r>
      <w:r>
        <w:t>e</w:t>
      </w:r>
      <w:r w:rsidRPr="00EE49E2">
        <w:t xml:space="preserve">valuation </w:t>
      </w:r>
      <w:r>
        <w:t>c</w:t>
      </w:r>
      <w:r w:rsidRPr="00EE49E2">
        <w:t>ommittee then determine</w:t>
      </w:r>
      <w:r>
        <w:t>s</w:t>
      </w:r>
      <w:r w:rsidRPr="00EE49E2">
        <w:t xml:space="preserve"> the </w:t>
      </w:r>
      <w:r>
        <w:t>final score for each proposer.</w:t>
      </w:r>
      <w:r w:rsidRPr="00EE49E2">
        <w:t xml:space="preserve"> </w:t>
      </w:r>
    </w:p>
    <w:p w:rsidR="00811B39" w:rsidRPr="00EE49E2" w:rsidRDefault="00811B39" w:rsidP="00811B39">
      <w:pPr>
        <w:numPr>
          <w:ilvl w:val="0"/>
          <w:numId w:val="4"/>
        </w:numPr>
        <w:spacing w:line="276" w:lineRule="auto"/>
      </w:pPr>
      <w:proofErr w:type="spellStart"/>
      <w:r w:rsidRPr="00EE49E2">
        <w:t>CDOT</w:t>
      </w:r>
      <w:proofErr w:type="spellEnd"/>
      <w:r w:rsidRPr="00EE49E2">
        <w:t xml:space="preserve"> </w:t>
      </w:r>
      <w:r>
        <w:t>reserves</w:t>
      </w:r>
      <w:r w:rsidRPr="00EE49E2">
        <w:t xml:space="preserve"> the right to conduct interviews with an</w:t>
      </w:r>
      <w:r>
        <w:t>y or all s</w:t>
      </w:r>
      <w:r w:rsidRPr="00EE49E2">
        <w:t>ubmitters as a part of i</w:t>
      </w:r>
      <w:r>
        <w:t xml:space="preserve">ts evaluation </w:t>
      </w:r>
      <w:r w:rsidRPr="00EE49E2">
        <w:t>process</w:t>
      </w:r>
      <w:r>
        <w:t xml:space="preserve"> but typically provides final evaluation scoring without requiring interviews in Design-Build procurements. Not conducting interviews minimizes the risk of technical leveling and Proposal negotiating, both of which compromise the integrity of the procurement process. If interviews are conducted, in advance the project team should review the federal regulations concerning the process: 23 </w:t>
      </w:r>
      <w:proofErr w:type="spellStart"/>
      <w:r>
        <w:t>CFR</w:t>
      </w:r>
      <w:proofErr w:type="spellEnd"/>
      <w:r>
        <w:t xml:space="preserve"> 636, Subpart E—Discussions, Proposal Revisions and Source Selection (</w:t>
      </w:r>
      <w:hyperlink r:id="rId12" w:anchor="se23.1.636_1209" w:history="1">
        <w:r w:rsidRPr="008B5171">
          <w:rPr>
            <w:rStyle w:val="Hyperlink"/>
          </w:rPr>
          <w:t>http://www.ecfr.gov/cgi-bin/text-idx?rgn=div5&amp;node=23:1.0.1.7.24#se23.1.636_1209</w:t>
        </w:r>
      </w:hyperlink>
      <w:r>
        <w:t>).</w:t>
      </w:r>
    </w:p>
    <w:p w:rsidR="00811B39" w:rsidRDefault="00811B39" w:rsidP="00811B39">
      <w:pPr>
        <w:numPr>
          <w:ilvl w:val="0"/>
          <w:numId w:val="4"/>
        </w:numPr>
        <w:spacing w:line="276" w:lineRule="auto"/>
      </w:pPr>
      <w:r>
        <w:t>The evaluation committee, le</w:t>
      </w:r>
      <w:r w:rsidRPr="00EE49E2">
        <w:t xml:space="preserve">d by the </w:t>
      </w:r>
      <w:r>
        <w:t>c</w:t>
      </w:r>
      <w:r w:rsidRPr="00EE49E2">
        <w:t>hairperson, develop</w:t>
      </w:r>
      <w:r>
        <w:t>s</w:t>
      </w:r>
      <w:r w:rsidRPr="00EE49E2">
        <w:t xml:space="preserve"> </w:t>
      </w:r>
      <w:r>
        <w:t>an executive summary of the e</w:t>
      </w:r>
      <w:r w:rsidRPr="00EE49E2">
        <w:t>valu</w:t>
      </w:r>
      <w:r>
        <w:t>ations</w:t>
      </w:r>
      <w:r w:rsidRPr="00EE49E2">
        <w:t xml:space="preserve">. The </w:t>
      </w:r>
      <w:r>
        <w:t>e</w:t>
      </w:r>
      <w:r w:rsidRPr="00EE49E2">
        <w:t xml:space="preserve">xecutive </w:t>
      </w:r>
      <w:r>
        <w:t>s</w:t>
      </w:r>
      <w:r w:rsidRPr="00EE49E2">
        <w:t xml:space="preserve">ummary </w:t>
      </w:r>
      <w:r>
        <w:t>is</w:t>
      </w:r>
      <w:r w:rsidRPr="00EE49E2">
        <w:t xml:space="preserve"> forwarded to the </w:t>
      </w:r>
      <w:proofErr w:type="spellStart"/>
      <w:r>
        <w:t>EOC</w:t>
      </w:r>
      <w:proofErr w:type="spellEnd"/>
      <w:r>
        <w:t xml:space="preserve"> </w:t>
      </w:r>
      <w:r w:rsidRPr="00EE49E2">
        <w:t>for</w:t>
      </w:r>
      <w:r>
        <w:t xml:space="preserve"> concurrence of the Proposal scoring</w:t>
      </w:r>
      <w:r w:rsidRPr="00EE49E2">
        <w:t>.</w:t>
      </w:r>
    </w:p>
    <w:p w:rsidR="00811B39" w:rsidRDefault="00811B39" w:rsidP="00811B39">
      <w:pPr>
        <w:numPr>
          <w:ilvl w:val="0"/>
          <w:numId w:val="4"/>
        </w:numPr>
        <w:spacing w:line="276" w:lineRule="auto"/>
      </w:pPr>
      <w:r>
        <w:t xml:space="preserve">In the case of Proposals that include a price proposal, the price proposal is provided in a separately sealed submittal that is provided independently to a Price Evaluation Team (PET).  The PET performs a review of the competency of all the legal, bonding, and miscellaneous forms and certificates required for a responsive submittal.  The PET also opens the sealed proposers’ price proposals and reviews the competency of the pricing, after completion of the technical evaluations, in accordance with Colorado Design-Build regulations (2 </w:t>
      </w:r>
      <w:proofErr w:type="spellStart"/>
      <w:r>
        <w:t>CCR</w:t>
      </w:r>
      <w:proofErr w:type="spellEnd"/>
      <w:r>
        <w:t xml:space="preserve"> 601-15 Section 11).</w:t>
      </w:r>
    </w:p>
    <w:p w:rsidR="00811B39" w:rsidRPr="00EE49E2" w:rsidRDefault="00811B39" w:rsidP="00811B39">
      <w:pPr>
        <w:spacing w:line="276" w:lineRule="auto"/>
      </w:pPr>
      <w:r>
        <w:t>To eliminate the need to review Proposals that exceed the Guaranteed Maximum Price (</w:t>
      </w:r>
      <w:proofErr w:type="spellStart"/>
      <w:r>
        <w:t>GMP</w:t>
      </w:r>
      <w:proofErr w:type="spellEnd"/>
      <w:r>
        <w:t xml:space="preserve">) and to comply with the Colorado Design-Build regulations, the </w:t>
      </w:r>
      <w:proofErr w:type="spellStart"/>
      <w:r>
        <w:t>ITP</w:t>
      </w:r>
      <w:proofErr w:type="spellEnd"/>
      <w:r>
        <w:t xml:space="preserve"> can require proposers to provide a separately sealed certification of whether or not their Proposal price is within the </w:t>
      </w:r>
      <w:proofErr w:type="spellStart"/>
      <w:r>
        <w:t>GMP</w:t>
      </w:r>
      <w:proofErr w:type="spellEnd"/>
      <w:r>
        <w:t xml:space="preserve"> without revealing the actual price.</w:t>
      </w:r>
    </w:p>
    <w:p w:rsidR="00811B39" w:rsidRDefault="00811B39" w:rsidP="00811B39">
      <w:pPr>
        <w:spacing w:line="276" w:lineRule="auto"/>
      </w:pPr>
      <w:r w:rsidRPr="00A87F05">
        <w:rPr>
          <w:b/>
        </w:rPr>
        <w:t>Adjectival Scoring Process</w:t>
      </w:r>
      <w:r>
        <w:t xml:space="preserve">:  </w:t>
      </w:r>
    </w:p>
    <w:p w:rsidR="00811B39" w:rsidRDefault="00811B39" w:rsidP="00811B39">
      <w:pPr>
        <w:spacing w:line="276" w:lineRule="auto"/>
      </w:pPr>
      <w:r w:rsidRPr="00A87F05">
        <w:t xml:space="preserve">The five adjectival ratings available to each </w:t>
      </w:r>
      <w:r>
        <w:t>e</w:t>
      </w:r>
      <w:r w:rsidRPr="00A87F05">
        <w:t xml:space="preserve">valuator are defined </w:t>
      </w:r>
      <w:r>
        <w:t>in Table 6-1</w:t>
      </w:r>
      <w:r w:rsidRPr="00A87F05">
        <w:t xml:space="preserve">. The description establishes the basis by which an adjectival rating is assigned. Also, a </w:t>
      </w:r>
      <w:r>
        <w:t>percentage range of the</w:t>
      </w:r>
      <w:r w:rsidRPr="00A87F05">
        <w:t xml:space="preserve"> maximum score is defined for each adjectival rating. </w:t>
      </w:r>
    </w:p>
    <w:p w:rsidR="00811B39" w:rsidRDefault="00811B39" w:rsidP="00811B39">
      <w:pPr>
        <w:spacing w:line="276" w:lineRule="auto"/>
      </w:pPr>
      <w:r>
        <w:t xml:space="preserve">It is important to note that each adjectival rating is defined through the use of strengths and weaknesses to aid evaluation. Evaluators should begin the evaluation by documenting the strengths and weaknesses of each Proposal and then apply the appropriate adjective. For example, a proposer </w:t>
      </w:r>
      <w:proofErr w:type="gramStart"/>
      <w:r>
        <w:t>whose</w:t>
      </w:r>
      <w:proofErr w:type="gramEnd"/>
      <w:r>
        <w:t xml:space="preserve"> P</w:t>
      </w:r>
      <w:r w:rsidRPr="00B90474">
        <w:t>roposal contains weaknesses, even minor ones by definition</w:t>
      </w:r>
      <w:r>
        <w:t>,</w:t>
      </w:r>
      <w:r w:rsidRPr="00B90474">
        <w:t xml:space="preserve"> </w:t>
      </w:r>
      <w:r>
        <w:t>cannot be considered excellent.</w:t>
      </w:r>
    </w:p>
    <w:p w:rsidR="00811B39" w:rsidRDefault="00811B39" w:rsidP="00811B39">
      <w:pPr>
        <w:spacing w:line="276" w:lineRule="auto"/>
      </w:pPr>
      <w:r>
        <w:t xml:space="preserve">It is highly recommended that all evaluators be trained in the established evaluation process, once the evaluation plan is finalized and approved by the </w:t>
      </w:r>
      <w:proofErr w:type="spellStart"/>
      <w:r>
        <w:t>EOC</w:t>
      </w:r>
      <w:proofErr w:type="spellEnd"/>
      <w:r>
        <w:t>. This increases the defensibility of the selection and aids in consistent implementation of the evaluation plan.</w:t>
      </w:r>
    </w:p>
    <w:p w:rsidR="00811B39" w:rsidRDefault="00811B39" w:rsidP="00811B39">
      <w:pPr>
        <w:spacing w:line="276" w:lineRule="auto"/>
      </w:pPr>
      <w:r>
        <w:t>Typically, Proposals competing for Design-Build projects are submitted by highly qualified companies, and distinguishing between the proposers can prove challenging. A well-thought-out plan and rigid adherence to the process both aid in determining who will best meet the project goals and provide a strong defense against protest.</w:t>
      </w:r>
      <w:r>
        <w:br w:type="page"/>
      </w:r>
    </w:p>
    <w:p w:rsidR="00811B39" w:rsidRPr="003F755B" w:rsidRDefault="00811B39" w:rsidP="00811B39">
      <w:pPr>
        <w:rPr>
          <w:b/>
        </w:rPr>
      </w:pPr>
      <w:r>
        <w:rPr>
          <w:b/>
        </w:rPr>
        <w:t>Table 6-1. Adjectival Evaluation and Scoring Guide</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1458"/>
      </w:tblGrid>
      <w:tr w:rsidR="00811B39" w:rsidRPr="00D27092" w:rsidTr="004C7A91">
        <w:trPr>
          <w:trHeight w:val="503"/>
          <w:jc w:val="right"/>
        </w:trPr>
        <w:tc>
          <w:tcPr>
            <w:tcW w:w="1440" w:type="dxa"/>
            <w:shd w:val="clear" w:color="auto" w:fill="FFFFCC"/>
            <w:vAlign w:val="center"/>
          </w:tcPr>
          <w:p w:rsidR="00811B39" w:rsidRPr="00D27092" w:rsidRDefault="00811B39" w:rsidP="004C7A91">
            <w:pPr>
              <w:pStyle w:val="TABLE"/>
              <w:rPr>
                <w:rFonts w:ascii="Times New Roman" w:hAnsi="Times New Roman"/>
                <w:b/>
                <w:sz w:val="24"/>
              </w:rPr>
            </w:pPr>
            <w:r w:rsidRPr="00D27092">
              <w:rPr>
                <w:rFonts w:ascii="Times New Roman" w:hAnsi="Times New Roman"/>
                <w:b/>
                <w:sz w:val="24"/>
              </w:rPr>
              <w:t>Adjective</w:t>
            </w:r>
          </w:p>
        </w:tc>
        <w:tc>
          <w:tcPr>
            <w:tcW w:w="6480" w:type="dxa"/>
            <w:shd w:val="clear" w:color="auto" w:fill="FFFFCC"/>
            <w:vAlign w:val="center"/>
          </w:tcPr>
          <w:p w:rsidR="00811B39" w:rsidRPr="00D27092" w:rsidRDefault="00811B39" w:rsidP="004C7A91">
            <w:pPr>
              <w:pStyle w:val="TABLE"/>
              <w:rPr>
                <w:rFonts w:ascii="Times New Roman" w:hAnsi="Times New Roman"/>
                <w:b/>
                <w:sz w:val="24"/>
              </w:rPr>
            </w:pPr>
            <w:r w:rsidRPr="00D27092">
              <w:rPr>
                <w:rFonts w:ascii="Times New Roman" w:hAnsi="Times New Roman"/>
                <w:b/>
                <w:sz w:val="24"/>
              </w:rPr>
              <w:t>Description</w:t>
            </w:r>
          </w:p>
        </w:tc>
        <w:tc>
          <w:tcPr>
            <w:tcW w:w="1458" w:type="dxa"/>
            <w:shd w:val="clear" w:color="auto" w:fill="FFFFCC"/>
            <w:vAlign w:val="center"/>
          </w:tcPr>
          <w:p w:rsidR="00811B39" w:rsidRPr="00D27092" w:rsidRDefault="00811B39" w:rsidP="004C7A91">
            <w:pPr>
              <w:pStyle w:val="TABLE"/>
              <w:rPr>
                <w:rFonts w:ascii="Times New Roman" w:hAnsi="Times New Roman"/>
                <w:b/>
                <w:sz w:val="24"/>
              </w:rPr>
            </w:pPr>
            <w:r w:rsidRPr="00D27092">
              <w:rPr>
                <w:rFonts w:ascii="Times New Roman" w:hAnsi="Times New Roman"/>
                <w:b/>
                <w:sz w:val="24"/>
              </w:rPr>
              <w:t>Percent</w:t>
            </w:r>
            <w:r>
              <w:rPr>
                <w:rFonts w:ascii="Times New Roman" w:hAnsi="Times New Roman"/>
                <w:b/>
                <w:sz w:val="24"/>
              </w:rPr>
              <w:t>age</w:t>
            </w:r>
            <w:r w:rsidRPr="00D27092">
              <w:rPr>
                <w:rFonts w:ascii="Times New Roman" w:hAnsi="Times New Roman"/>
                <w:b/>
                <w:sz w:val="24"/>
              </w:rPr>
              <w:t xml:space="preserve"> of Max. Score</w:t>
            </w:r>
          </w:p>
        </w:tc>
      </w:tr>
      <w:tr w:rsidR="00811B39" w:rsidRPr="00D27092" w:rsidTr="004C7A91">
        <w:trPr>
          <w:jc w:val="right"/>
        </w:trPr>
        <w:tc>
          <w:tcPr>
            <w:tcW w:w="1440" w:type="dxa"/>
            <w:vAlign w:val="center"/>
          </w:tcPr>
          <w:p w:rsidR="00811B39" w:rsidRPr="00D27092" w:rsidRDefault="00811B39" w:rsidP="004C7A91">
            <w:pPr>
              <w:spacing w:before="40" w:after="40"/>
              <w:jc w:val="center"/>
            </w:pPr>
            <w:r w:rsidRPr="00D27092">
              <w:rPr>
                <w:b/>
                <w:bCs/>
              </w:rPr>
              <w:t>Excellent (E)</w:t>
            </w:r>
          </w:p>
        </w:tc>
        <w:tc>
          <w:tcPr>
            <w:tcW w:w="6480" w:type="dxa"/>
          </w:tcPr>
          <w:p w:rsidR="00811B39" w:rsidRPr="00F27480" w:rsidRDefault="00811B39" w:rsidP="004C7A91">
            <w:pPr>
              <w:spacing w:before="40" w:after="40"/>
            </w:pPr>
            <w:proofErr w:type="spellStart"/>
            <w:r w:rsidRPr="00896FD3">
              <w:t>SOQ</w:t>
            </w:r>
            <w:proofErr w:type="spellEnd"/>
            <w:r w:rsidRPr="00896FD3">
              <w:t>/</w:t>
            </w:r>
            <w:r>
              <w:t>P</w:t>
            </w:r>
            <w:r w:rsidRPr="00896FD3">
              <w:t xml:space="preserve">roposal supports an </w:t>
            </w:r>
            <w:r w:rsidRPr="00F27480">
              <w:rPr>
                <w:bCs/>
              </w:rPr>
              <w:t>extremely strong expectation of successful</w:t>
            </w:r>
            <w:r w:rsidRPr="00896FD3">
              <w:t xml:space="preserve"> </w:t>
            </w:r>
            <w:r w:rsidRPr="00F27480">
              <w:rPr>
                <w:bCs/>
              </w:rPr>
              <w:t>project performance</w:t>
            </w:r>
            <w:r w:rsidRPr="00896FD3">
              <w:t xml:space="preserve"> if ultimately selected as the </w:t>
            </w:r>
            <w:r w:rsidRPr="00B11027">
              <w:t>contractor.</w:t>
            </w:r>
            <w:r w:rsidRPr="00F27480">
              <w:t xml:space="preserve"> </w:t>
            </w:r>
            <w:proofErr w:type="spellStart"/>
            <w:r w:rsidRPr="00F27480">
              <w:t>SOQ</w:t>
            </w:r>
            <w:proofErr w:type="spellEnd"/>
            <w:r w:rsidRPr="00F27480">
              <w:t xml:space="preserve"> indicates significant strengths and/or a number of minor strengths and no weaknesses. Submitter provides a consistently outstanding level of quality. </w:t>
            </w:r>
          </w:p>
        </w:tc>
        <w:tc>
          <w:tcPr>
            <w:tcW w:w="1458" w:type="dxa"/>
            <w:vAlign w:val="center"/>
          </w:tcPr>
          <w:p w:rsidR="00811B39" w:rsidRPr="00D27092" w:rsidRDefault="00811B39" w:rsidP="004C7A91">
            <w:pPr>
              <w:pStyle w:val="Header"/>
              <w:spacing w:before="40" w:after="40"/>
              <w:jc w:val="center"/>
            </w:pPr>
            <w:r w:rsidRPr="00D27092">
              <w:t>100</w:t>
            </w:r>
            <w:r>
              <w:t>-</w:t>
            </w:r>
            <w:r w:rsidRPr="00D27092">
              <w:t>90%</w:t>
            </w:r>
          </w:p>
        </w:tc>
      </w:tr>
      <w:tr w:rsidR="00811B39" w:rsidRPr="00D27092" w:rsidTr="004C7A91">
        <w:trPr>
          <w:jc w:val="right"/>
        </w:trPr>
        <w:tc>
          <w:tcPr>
            <w:tcW w:w="1440" w:type="dxa"/>
            <w:vAlign w:val="center"/>
          </w:tcPr>
          <w:p w:rsidR="00811B39" w:rsidRPr="00D27092" w:rsidRDefault="00811B39" w:rsidP="004C7A91">
            <w:pPr>
              <w:spacing w:before="40" w:after="40"/>
              <w:jc w:val="center"/>
              <w:rPr>
                <w:b/>
                <w:bCs/>
              </w:rPr>
            </w:pPr>
            <w:r w:rsidRPr="00D27092">
              <w:rPr>
                <w:b/>
                <w:bCs/>
              </w:rPr>
              <w:t>Very Good (VG)</w:t>
            </w:r>
          </w:p>
        </w:tc>
        <w:tc>
          <w:tcPr>
            <w:tcW w:w="6480" w:type="dxa"/>
          </w:tcPr>
          <w:p w:rsidR="00811B39" w:rsidRPr="00D27092" w:rsidRDefault="00811B39" w:rsidP="004C7A91">
            <w:pPr>
              <w:spacing w:before="40" w:after="40"/>
            </w:pPr>
            <w:proofErr w:type="spellStart"/>
            <w:r w:rsidRPr="00896FD3">
              <w:t>SOQ</w:t>
            </w:r>
            <w:proofErr w:type="spellEnd"/>
            <w:r w:rsidRPr="00896FD3">
              <w:t>/</w:t>
            </w:r>
            <w:r>
              <w:t>P</w:t>
            </w:r>
            <w:r w:rsidRPr="00896FD3">
              <w:t>roposal indicates significant strengths and/or a number of minor strengths and no significant weaknesses.</w:t>
            </w:r>
            <w:r w:rsidRPr="00B11027">
              <w:t xml:space="preserve"> Minor weaknesses are offset by strengths. </w:t>
            </w:r>
            <w:r w:rsidRPr="00F27480">
              <w:t xml:space="preserve">There exists a </w:t>
            </w:r>
            <w:r w:rsidRPr="00F27480">
              <w:rPr>
                <w:bCs/>
              </w:rPr>
              <w:t>small possibility</w:t>
            </w:r>
            <w:r w:rsidRPr="00896FD3">
              <w:t xml:space="preserve"> that, if ultimately selected as the contractor, the minor weaknesses could </w:t>
            </w:r>
            <w:r w:rsidRPr="00F27480">
              <w:rPr>
                <w:bCs/>
              </w:rPr>
              <w:t xml:space="preserve">slightly </w:t>
            </w:r>
            <w:r w:rsidRPr="00896FD3">
              <w:t>adversely</w:t>
            </w:r>
            <w:r w:rsidRPr="00F27480">
              <w:rPr>
                <w:bCs/>
              </w:rPr>
              <w:t xml:space="preserve"> affect </w:t>
            </w:r>
            <w:r w:rsidRPr="00896FD3">
              <w:t>successful project performance</w:t>
            </w:r>
            <w:r w:rsidRPr="00D27092">
              <w:t>.</w:t>
            </w:r>
          </w:p>
        </w:tc>
        <w:tc>
          <w:tcPr>
            <w:tcW w:w="1458" w:type="dxa"/>
            <w:vAlign w:val="center"/>
          </w:tcPr>
          <w:p w:rsidR="00811B39" w:rsidRPr="00D27092" w:rsidRDefault="00811B39" w:rsidP="004C7A91">
            <w:pPr>
              <w:pStyle w:val="Header"/>
              <w:spacing w:before="40" w:after="40"/>
              <w:jc w:val="center"/>
            </w:pPr>
            <w:r w:rsidRPr="00D27092">
              <w:t>89</w:t>
            </w:r>
            <w:r>
              <w:t>–</w:t>
            </w:r>
            <w:r w:rsidRPr="00D27092">
              <w:t>75%</w:t>
            </w:r>
          </w:p>
        </w:tc>
      </w:tr>
      <w:tr w:rsidR="00811B39" w:rsidRPr="00D27092" w:rsidTr="004C7A91">
        <w:trPr>
          <w:jc w:val="right"/>
        </w:trPr>
        <w:tc>
          <w:tcPr>
            <w:tcW w:w="1440" w:type="dxa"/>
            <w:vAlign w:val="center"/>
          </w:tcPr>
          <w:p w:rsidR="00811B39" w:rsidRPr="00D27092" w:rsidRDefault="00811B39" w:rsidP="004C7A91">
            <w:pPr>
              <w:spacing w:before="40" w:after="40"/>
              <w:jc w:val="center"/>
            </w:pPr>
            <w:r w:rsidRPr="00D27092">
              <w:rPr>
                <w:b/>
                <w:bCs/>
              </w:rPr>
              <w:t>Good (G)</w:t>
            </w:r>
          </w:p>
        </w:tc>
        <w:tc>
          <w:tcPr>
            <w:tcW w:w="6480" w:type="dxa"/>
          </w:tcPr>
          <w:p w:rsidR="00811B39" w:rsidRPr="00896FD3" w:rsidRDefault="00811B39" w:rsidP="004C7A91">
            <w:pPr>
              <w:spacing w:before="40" w:after="40"/>
            </w:pPr>
            <w:proofErr w:type="spellStart"/>
            <w:r w:rsidRPr="00896FD3">
              <w:t>SOQ</w:t>
            </w:r>
            <w:proofErr w:type="spellEnd"/>
            <w:r w:rsidRPr="00896FD3">
              <w:t>/</w:t>
            </w:r>
            <w:r>
              <w:t>P</w:t>
            </w:r>
            <w:r w:rsidRPr="00896FD3">
              <w:t>roposal</w:t>
            </w:r>
            <w:r w:rsidRPr="002C3399">
              <w:t xml:space="preserve"> indicates significant strengths and/or a number of minor strengths.</w:t>
            </w:r>
            <w:r w:rsidRPr="00B11027">
              <w:t xml:space="preserve"> Minor and significant weaknesses exist that could detract from strengths. While the weaknesses could be improved, minimized, or corrected, it is </w:t>
            </w:r>
            <w:r w:rsidRPr="00F27480">
              <w:rPr>
                <w:bCs/>
              </w:rPr>
              <w:t>possible</w:t>
            </w:r>
            <w:r w:rsidRPr="00896FD3">
              <w:t xml:space="preserve"> that if ultimately selected as the contractor, the weaknesses </w:t>
            </w:r>
            <w:r w:rsidRPr="00F27480">
              <w:rPr>
                <w:bCs/>
              </w:rPr>
              <w:t>could</w:t>
            </w:r>
            <w:r w:rsidRPr="00896FD3">
              <w:t xml:space="preserve"> </w:t>
            </w:r>
            <w:r w:rsidRPr="00F27480">
              <w:rPr>
                <w:bCs/>
              </w:rPr>
              <w:t>adversely affect</w:t>
            </w:r>
            <w:r w:rsidRPr="00896FD3">
              <w:t xml:space="preserve"> successful project performance.</w:t>
            </w:r>
          </w:p>
        </w:tc>
        <w:tc>
          <w:tcPr>
            <w:tcW w:w="1458" w:type="dxa"/>
            <w:vAlign w:val="center"/>
          </w:tcPr>
          <w:p w:rsidR="00811B39" w:rsidRPr="00D27092" w:rsidRDefault="00811B39" w:rsidP="004C7A91">
            <w:pPr>
              <w:jc w:val="center"/>
            </w:pPr>
            <w:r w:rsidRPr="00D27092">
              <w:t>74</w:t>
            </w:r>
            <w:r>
              <w:t>–</w:t>
            </w:r>
            <w:r w:rsidRPr="00D27092">
              <w:t>51%</w:t>
            </w:r>
          </w:p>
        </w:tc>
      </w:tr>
      <w:tr w:rsidR="00811B39" w:rsidRPr="00D27092" w:rsidTr="004C7A91">
        <w:trPr>
          <w:jc w:val="right"/>
        </w:trPr>
        <w:tc>
          <w:tcPr>
            <w:tcW w:w="1440" w:type="dxa"/>
            <w:vAlign w:val="center"/>
          </w:tcPr>
          <w:p w:rsidR="00811B39" w:rsidRPr="00D27092" w:rsidRDefault="00811B39" w:rsidP="004C7A91">
            <w:pPr>
              <w:spacing w:before="40" w:after="40"/>
              <w:jc w:val="center"/>
            </w:pPr>
            <w:r w:rsidRPr="00D27092">
              <w:rPr>
                <w:b/>
                <w:bCs/>
              </w:rPr>
              <w:t>Fair (F)</w:t>
            </w:r>
          </w:p>
        </w:tc>
        <w:tc>
          <w:tcPr>
            <w:tcW w:w="6480" w:type="dxa"/>
          </w:tcPr>
          <w:p w:rsidR="00811B39" w:rsidRPr="00D27092" w:rsidRDefault="00811B39" w:rsidP="004C7A91">
            <w:pPr>
              <w:spacing w:before="40" w:after="40"/>
            </w:pPr>
            <w:proofErr w:type="spellStart"/>
            <w:r w:rsidRPr="00896FD3">
              <w:t>SOQ</w:t>
            </w:r>
            <w:proofErr w:type="spellEnd"/>
            <w:r w:rsidRPr="00896FD3">
              <w:t>/</w:t>
            </w:r>
            <w:r>
              <w:t>P</w:t>
            </w:r>
            <w:r w:rsidRPr="00896FD3">
              <w:t>roposal</w:t>
            </w:r>
            <w:r w:rsidRPr="002C3399">
              <w:t xml:space="preserve"> indicates weaknesses, significant and minor, which are not offset by significant strengths.</w:t>
            </w:r>
            <w:r w:rsidRPr="00B11027">
              <w:t xml:space="preserve"> No significant strengths and few minor strengths exist. It is </w:t>
            </w:r>
            <w:r w:rsidRPr="00F27480">
              <w:rPr>
                <w:bCs/>
              </w:rPr>
              <w:t>probable</w:t>
            </w:r>
            <w:r w:rsidRPr="00896FD3">
              <w:t xml:space="preserve"> that if ultimately selected as the contractor, the weaknesses </w:t>
            </w:r>
            <w:r w:rsidRPr="00F27480">
              <w:rPr>
                <w:bCs/>
              </w:rPr>
              <w:t>would</w:t>
            </w:r>
            <w:r w:rsidRPr="00896FD3">
              <w:t xml:space="preserve"> </w:t>
            </w:r>
            <w:r w:rsidRPr="00F27480">
              <w:rPr>
                <w:bCs/>
              </w:rPr>
              <w:t>adversely affect</w:t>
            </w:r>
            <w:r w:rsidRPr="00896FD3">
              <w:t xml:space="preserve"> successful </w:t>
            </w:r>
            <w:r w:rsidRPr="00B11027">
              <w:t>project performance</w:t>
            </w:r>
            <w:r w:rsidRPr="00D27092">
              <w:t>.</w:t>
            </w:r>
          </w:p>
        </w:tc>
        <w:tc>
          <w:tcPr>
            <w:tcW w:w="1458" w:type="dxa"/>
            <w:vAlign w:val="center"/>
          </w:tcPr>
          <w:p w:rsidR="00811B39" w:rsidRPr="00D27092" w:rsidRDefault="00811B39" w:rsidP="004C7A91">
            <w:pPr>
              <w:pStyle w:val="Header"/>
              <w:jc w:val="center"/>
            </w:pPr>
            <w:r w:rsidRPr="00D27092">
              <w:t>50</w:t>
            </w:r>
            <w:r>
              <w:t>–</w:t>
            </w:r>
            <w:r w:rsidRPr="00D27092">
              <w:t>25%</w:t>
            </w:r>
          </w:p>
        </w:tc>
      </w:tr>
      <w:tr w:rsidR="00811B39" w:rsidRPr="00D27092" w:rsidTr="004C7A91">
        <w:trPr>
          <w:jc w:val="right"/>
        </w:trPr>
        <w:tc>
          <w:tcPr>
            <w:tcW w:w="1440" w:type="dxa"/>
            <w:vAlign w:val="center"/>
          </w:tcPr>
          <w:p w:rsidR="00811B39" w:rsidRPr="00D27092" w:rsidRDefault="00811B39" w:rsidP="004C7A91">
            <w:pPr>
              <w:spacing w:before="40" w:after="40"/>
              <w:jc w:val="center"/>
              <w:rPr>
                <w:b/>
                <w:bCs/>
              </w:rPr>
            </w:pPr>
            <w:r w:rsidRPr="00D27092">
              <w:rPr>
                <w:b/>
                <w:bCs/>
              </w:rPr>
              <w:t>Poor (P)</w:t>
            </w:r>
          </w:p>
        </w:tc>
        <w:tc>
          <w:tcPr>
            <w:tcW w:w="6480" w:type="dxa"/>
          </w:tcPr>
          <w:p w:rsidR="00811B39" w:rsidRPr="00F27480" w:rsidRDefault="00811B39" w:rsidP="004C7A91">
            <w:pPr>
              <w:spacing w:before="40" w:after="40"/>
            </w:pPr>
            <w:proofErr w:type="spellStart"/>
            <w:r w:rsidRPr="00896FD3">
              <w:t>SOQ</w:t>
            </w:r>
            <w:proofErr w:type="spellEnd"/>
            <w:r w:rsidRPr="00896FD3">
              <w:t>/</w:t>
            </w:r>
            <w:r>
              <w:t>P</w:t>
            </w:r>
            <w:r w:rsidRPr="00896FD3">
              <w:t>roposal</w:t>
            </w:r>
            <w:r w:rsidRPr="002C3399">
              <w:t xml:space="preserve"> indicates existence of significant weaknesses and/or minor weaknesses and no strengths.</w:t>
            </w:r>
            <w:r w:rsidRPr="00B11027">
              <w:t xml:space="preserve"> </w:t>
            </w:r>
            <w:proofErr w:type="spellStart"/>
            <w:r w:rsidRPr="00B11027">
              <w:t>SOQ</w:t>
            </w:r>
            <w:proofErr w:type="spellEnd"/>
            <w:r w:rsidRPr="00B11027">
              <w:t xml:space="preserve"> indicates a </w:t>
            </w:r>
            <w:r w:rsidRPr="00F27480">
              <w:rPr>
                <w:bCs/>
              </w:rPr>
              <w:t>strong expectation</w:t>
            </w:r>
            <w:r w:rsidRPr="00896FD3">
              <w:t xml:space="preserve"> that successful performance </w:t>
            </w:r>
            <w:r w:rsidRPr="00F27480">
              <w:rPr>
                <w:bCs/>
              </w:rPr>
              <w:t>could not be achieved</w:t>
            </w:r>
            <w:r w:rsidRPr="00896FD3">
              <w:t xml:space="preserve"> if </w:t>
            </w:r>
            <w:r w:rsidRPr="00B11027">
              <w:t xml:space="preserve">ultimately selected as the </w:t>
            </w:r>
            <w:r w:rsidRPr="00F27480">
              <w:t>contractor.</w:t>
            </w:r>
          </w:p>
        </w:tc>
        <w:tc>
          <w:tcPr>
            <w:tcW w:w="1458" w:type="dxa"/>
            <w:vAlign w:val="center"/>
          </w:tcPr>
          <w:p w:rsidR="00811B39" w:rsidRPr="00D27092" w:rsidRDefault="00811B39" w:rsidP="004C7A91">
            <w:pPr>
              <w:pStyle w:val="Header"/>
              <w:spacing w:before="40" w:after="40"/>
              <w:jc w:val="center"/>
            </w:pPr>
            <w:r w:rsidRPr="00D27092">
              <w:t>24</w:t>
            </w:r>
            <w:r>
              <w:t>–</w:t>
            </w:r>
            <w:r w:rsidRPr="00D27092">
              <w:t>0%</w:t>
            </w:r>
          </w:p>
        </w:tc>
      </w:tr>
    </w:tbl>
    <w:p w:rsidR="00811B39" w:rsidRDefault="00811B39" w:rsidP="00811B39">
      <w:pPr>
        <w:spacing w:before="120" w:after="120"/>
        <w:rPr>
          <w:rFonts w:ascii="Calibri" w:hAnsi="Calibri"/>
        </w:rPr>
      </w:pPr>
    </w:p>
    <w:p w:rsidR="00811B39" w:rsidRPr="00EE49E2" w:rsidRDefault="00811B39" w:rsidP="00811B39">
      <w:pPr>
        <w:spacing w:before="120" w:after="120"/>
        <w:rPr>
          <w:rFonts w:ascii="Calibri" w:hAnsi="Calibri"/>
        </w:rPr>
      </w:pPr>
      <w:r w:rsidRPr="00EE49E2">
        <w:rPr>
          <w:rFonts w:ascii="Calibri" w:hAnsi="Calibri"/>
        </w:rPr>
        <w:t xml:space="preserve">Strengths and </w:t>
      </w:r>
      <w:r>
        <w:rPr>
          <w:rFonts w:ascii="Calibri" w:hAnsi="Calibri"/>
        </w:rPr>
        <w:t>w</w:t>
      </w:r>
      <w:r w:rsidRPr="00EE49E2">
        <w:rPr>
          <w:rFonts w:ascii="Calibri" w:hAnsi="Calibri"/>
        </w:rPr>
        <w:t>eaknesses are defined as follows:</w:t>
      </w:r>
    </w:p>
    <w:p w:rsidR="00811B39" w:rsidRPr="00EE49E2" w:rsidRDefault="00811B39" w:rsidP="00811B39">
      <w:pPr>
        <w:pStyle w:val="ListParagraph"/>
        <w:numPr>
          <w:ilvl w:val="0"/>
          <w:numId w:val="5"/>
        </w:numPr>
        <w:spacing w:line="240" w:lineRule="auto"/>
        <w:contextualSpacing w:val="0"/>
        <w:rPr>
          <w:rFonts w:ascii="Calibri" w:hAnsi="Calibri"/>
        </w:rPr>
      </w:pPr>
      <w:r w:rsidRPr="00EE49E2">
        <w:rPr>
          <w:rFonts w:ascii="Calibri" w:hAnsi="Calibri"/>
          <w:i/>
        </w:rPr>
        <w:t>Strengths</w:t>
      </w:r>
      <w:r w:rsidRPr="00EE49E2">
        <w:rPr>
          <w:rFonts w:ascii="Calibri" w:hAnsi="Calibri"/>
        </w:rPr>
        <w:t xml:space="preserve">: That part of the </w:t>
      </w:r>
      <w:proofErr w:type="spellStart"/>
      <w:r w:rsidRPr="00EE49E2">
        <w:rPr>
          <w:rFonts w:ascii="Calibri" w:hAnsi="Calibri"/>
        </w:rPr>
        <w:t>SOQ</w:t>
      </w:r>
      <w:proofErr w:type="spellEnd"/>
      <w:r>
        <w:rPr>
          <w:rFonts w:ascii="Calibri" w:hAnsi="Calibri"/>
        </w:rPr>
        <w:t>/Proposal</w:t>
      </w:r>
      <w:r w:rsidRPr="00EE49E2">
        <w:rPr>
          <w:rFonts w:ascii="Calibri" w:hAnsi="Calibri"/>
        </w:rPr>
        <w:t xml:space="preserve"> that ultimately represents a benefit to the </w:t>
      </w:r>
      <w:r>
        <w:rPr>
          <w:rFonts w:ascii="Calibri" w:hAnsi="Calibri"/>
        </w:rPr>
        <w:t>p</w:t>
      </w:r>
      <w:r w:rsidRPr="00EE49E2">
        <w:rPr>
          <w:rFonts w:ascii="Calibri" w:hAnsi="Calibri"/>
        </w:rPr>
        <w:t xml:space="preserve">roject and is expected to increase the </w:t>
      </w:r>
      <w:r>
        <w:rPr>
          <w:rFonts w:ascii="Calibri" w:hAnsi="Calibri"/>
        </w:rPr>
        <w:t>s</w:t>
      </w:r>
      <w:r w:rsidRPr="00EE49E2">
        <w:rPr>
          <w:rFonts w:ascii="Calibri" w:hAnsi="Calibri"/>
        </w:rPr>
        <w:t xml:space="preserve">ubmitter’s ability to meet or exceed the </w:t>
      </w:r>
      <w:r>
        <w:rPr>
          <w:rFonts w:ascii="Calibri" w:hAnsi="Calibri"/>
        </w:rPr>
        <w:t>p</w:t>
      </w:r>
      <w:r w:rsidRPr="00EE49E2">
        <w:rPr>
          <w:rFonts w:ascii="Calibri" w:hAnsi="Calibri"/>
        </w:rPr>
        <w:t xml:space="preserve">roject’s </w:t>
      </w:r>
      <w:r>
        <w:rPr>
          <w:rFonts w:ascii="Calibri" w:hAnsi="Calibri"/>
        </w:rPr>
        <w:t>g</w:t>
      </w:r>
      <w:r w:rsidRPr="00EE49E2">
        <w:rPr>
          <w:rFonts w:ascii="Calibri" w:hAnsi="Calibri"/>
        </w:rPr>
        <w:t xml:space="preserve">oals. A minor strength has a </w:t>
      </w:r>
      <w:r w:rsidRPr="00F27480">
        <w:rPr>
          <w:rFonts w:ascii="Calibri" w:hAnsi="Calibri"/>
          <w:bCs/>
        </w:rPr>
        <w:t>slight</w:t>
      </w:r>
      <w:r w:rsidRPr="006177F3">
        <w:rPr>
          <w:rFonts w:ascii="Calibri" w:hAnsi="Calibri"/>
        </w:rPr>
        <w:t xml:space="preserve"> </w:t>
      </w:r>
      <w:r w:rsidRPr="00F27480">
        <w:rPr>
          <w:rFonts w:ascii="Calibri" w:hAnsi="Calibri"/>
          <w:bCs/>
        </w:rPr>
        <w:t>positive influence</w:t>
      </w:r>
      <w:r w:rsidRPr="00EE49E2">
        <w:rPr>
          <w:rFonts w:ascii="Calibri" w:hAnsi="Calibri"/>
        </w:rPr>
        <w:t xml:space="preserve"> on the </w:t>
      </w:r>
      <w:r>
        <w:rPr>
          <w:rFonts w:ascii="Calibri" w:hAnsi="Calibri"/>
        </w:rPr>
        <w:t>s</w:t>
      </w:r>
      <w:r w:rsidRPr="00EE49E2">
        <w:rPr>
          <w:rFonts w:ascii="Calibri" w:hAnsi="Calibri"/>
        </w:rPr>
        <w:t xml:space="preserve">ubmitter’s ability to meet or exceed the </w:t>
      </w:r>
      <w:r>
        <w:rPr>
          <w:rFonts w:ascii="Calibri" w:hAnsi="Calibri"/>
        </w:rPr>
        <w:t>p</w:t>
      </w:r>
      <w:r w:rsidRPr="00EE49E2">
        <w:rPr>
          <w:rFonts w:ascii="Calibri" w:hAnsi="Calibri"/>
        </w:rPr>
        <w:t xml:space="preserve">roject’s goals </w:t>
      </w:r>
      <w:r>
        <w:rPr>
          <w:rFonts w:ascii="Calibri" w:hAnsi="Calibri"/>
        </w:rPr>
        <w:t>whereas</w:t>
      </w:r>
      <w:r w:rsidRPr="00EE49E2">
        <w:rPr>
          <w:rFonts w:ascii="Calibri" w:hAnsi="Calibri"/>
        </w:rPr>
        <w:t xml:space="preserve"> a significant strength has a </w:t>
      </w:r>
      <w:r w:rsidRPr="00F27480">
        <w:rPr>
          <w:rFonts w:ascii="Calibri" w:hAnsi="Calibri"/>
          <w:bCs/>
        </w:rPr>
        <w:t>considerable</w:t>
      </w:r>
      <w:r w:rsidRPr="006177F3">
        <w:rPr>
          <w:rFonts w:ascii="Calibri" w:hAnsi="Calibri"/>
        </w:rPr>
        <w:t xml:space="preserve"> </w:t>
      </w:r>
      <w:r w:rsidRPr="00F27480">
        <w:rPr>
          <w:rFonts w:ascii="Calibri" w:hAnsi="Calibri"/>
          <w:bCs/>
        </w:rPr>
        <w:t>positive</w:t>
      </w:r>
      <w:r w:rsidRPr="00EE49E2">
        <w:rPr>
          <w:rFonts w:ascii="Calibri" w:hAnsi="Calibri"/>
          <w:b/>
          <w:bCs/>
        </w:rPr>
        <w:t xml:space="preserve"> </w:t>
      </w:r>
      <w:r w:rsidRPr="00EE49E2">
        <w:rPr>
          <w:rFonts w:ascii="Calibri" w:hAnsi="Calibri"/>
        </w:rPr>
        <w:t xml:space="preserve">influence on the </w:t>
      </w:r>
      <w:r>
        <w:rPr>
          <w:rFonts w:ascii="Calibri" w:hAnsi="Calibri"/>
        </w:rPr>
        <w:t>s</w:t>
      </w:r>
      <w:r w:rsidRPr="00EE49E2">
        <w:rPr>
          <w:rFonts w:ascii="Calibri" w:hAnsi="Calibri"/>
        </w:rPr>
        <w:t xml:space="preserve">ubmitter’s ability to meet or exceed the </w:t>
      </w:r>
      <w:r>
        <w:rPr>
          <w:rFonts w:ascii="Calibri" w:hAnsi="Calibri"/>
        </w:rPr>
        <w:t>p</w:t>
      </w:r>
      <w:r w:rsidRPr="00EE49E2">
        <w:rPr>
          <w:rFonts w:ascii="Calibri" w:hAnsi="Calibri"/>
        </w:rPr>
        <w:t xml:space="preserve">roject’s </w:t>
      </w:r>
      <w:r>
        <w:rPr>
          <w:rFonts w:ascii="Calibri" w:hAnsi="Calibri"/>
        </w:rPr>
        <w:t>g</w:t>
      </w:r>
      <w:r w:rsidRPr="00EE49E2">
        <w:rPr>
          <w:rFonts w:ascii="Calibri" w:hAnsi="Calibri"/>
        </w:rPr>
        <w:t xml:space="preserve">oals. </w:t>
      </w:r>
    </w:p>
    <w:p w:rsidR="00811B39" w:rsidRPr="00EE49E2" w:rsidRDefault="00811B39" w:rsidP="00811B39">
      <w:pPr>
        <w:pStyle w:val="ListParagraph"/>
        <w:numPr>
          <w:ilvl w:val="0"/>
          <w:numId w:val="5"/>
        </w:numPr>
        <w:spacing w:line="240" w:lineRule="auto"/>
        <w:contextualSpacing w:val="0"/>
        <w:rPr>
          <w:rFonts w:ascii="Calibri" w:hAnsi="Calibri"/>
        </w:rPr>
      </w:pPr>
      <w:bookmarkStart w:id="6" w:name="_Toc69355351"/>
      <w:bookmarkStart w:id="7" w:name="_Toc69366476"/>
      <w:bookmarkStart w:id="8" w:name="_Toc69542553"/>
      <w:r w:rsidRPr="00EE49E2">
        <w:rPr>
          <w:rFonts w:ascii="Calibri" w:hAnsi="Calibri"/>
          <w:i/>
        </w:rPr>
        <w:t>Weaknesses</w:t>
      </w:r>
      <w:r w:rsidRPr="00EE49E2">
        <w:rPr>
          <w:rFonts w:ascii="Calibri" w:hAnsi="Calibri"/>
        </w:rPr>
        <w:t xml:space="preserve">: That part of an </w:t>
      </w:r>
      <w:proofErr w:type="spellStart"/>
      <w:r w:rsidRPr="00EE49E2">
        <w:rPr>
          <w:rFonts w:ascii="Calibri" w:hAnsi="Calibri"/>
        </w:rPr>
        <w:t>SOQ</w:t>
      </w:r>
      <w:proofErr w:type="spellEnd"/>
      <w:r>
        <w:rPr>
          <w:rFonts w:ascii="Calibri" w:hAnsi="Calibri"/>
        </w:rPr>
        <w:t>/Proposal</w:t>
      </w:r>
      <w:r w:rsidRPr="00EE49E2">
        <w:rPr>
          <w:rFonts w:ascii="Calibri" w:hAnsi="Calibri"/>
        </w:rPr>
        <w:t xml:space="preserve"> </w:t>
      </w:r>
      <w:r>
        <w:rPr>
          <w:rFonts w:ascii="Calibri" w:hAnsi="Calibri"/>
        </w:rPr>
        <w:t>that</w:t>
      </w:r>
      <w:r w:rsidRPr="00EE49E2">
        <w:rPr>
          <w:rFonts w:ascii="Calibri" w:hAnsi="Calibri"/>
        </w:rPr>
        <w:t xml:space="preserve"> detracts from the </w:t>
      </w:r>
      <w:r>
        <w:rPr>
          <w:rFonts w:ascii="Calibri" w:hAnsi="Calibri"/>
        </w:rPr>
        <w:t>s</w:t>
      </w:r>
      <w:r w:rsidRPr="00EE49E2">
        <w:rPr>
          <w:rFonts w:ascii="Calibri" w:hAnsi="Calibri"/>
        </w:rPr>
        <w:t xml:space="preserve">ubmitter’s ability to meet the </w:t>
      </w:r>
      <w:r>
        <w:rPr>
          <w:rFonts w:ascii="Calibri" w:hAnsi="Calibri"/>
        </w:rPr>
        <w:t>p</w:t>
      </w:r>
      <w:r w:rsidRPr="00EE49E2">
        <w:rPr>
          <w:rFonts w:ascii="Calibri" w:hAnsi="Calibri"/>
        </w:rPr>
        <w:t xml:space="preserve">roject’s goals or may result in inefficient or ineffective performance. A minor weakness has a slight negative influence on the </w:t>
      </w:r>
      <w:r>
        <w:rPr>
          <w:rFonts w:ascii="Calibri" w:hAnsi="Calibri"/>
        </w:rPr>
        <w:t>s</w:t>
      </w:r>
      <w:r w:rsidRPr="00EE49E2">
        <w:rPr>
          <w:rFonts w:ascii="Calibri" w:hAnsi="Calibri"/>
        </w:rPr>
        <w:t xml:space="preserve">ubmitter’s ability to meet </w:t>
      </w:r>
      <w:r>
        <w:rPr>
          <w:rFonts w:ascii="Calibri" w:hAnsi="Calibri"/>
        </w:rPr>
        <w:t>p</w:t>
      </w:r>
      <w:r w:rsidRPr="00EE49E2">
        <w:rPr>
          <w:rFonts w:ascii="Calibri" w:hAnsi="Calibri"/>
        </w:rPr>
        <w:t xml:space="preserve">roject goals </w:t>
      </w:r>
      <w:r>
        <w:rPr>
          <w:rFonts w:ascii="Calibri" w:hAnsi="Calibri"/>
        </w:rPr>
        <w:t>whereas</w:t>
      </w:r>
      <w:r w:rsidRPr="00EE49E2">
        <w:rPr>
          <w:rFonts w:ascii="Calibri" w:hAnsi="Calibri"/>
        </w:rPr>
        <w:t xml:space="preserve"> a significant weakness has a considerable negative influence on the </w:t>
      </w:r>
      <w:r>
        <w:rPr>
          <w:rFonts w:ascii="Calibri" w:hAnsi="Calibri"/>
        </w:rPr>
        <w:t>s</w:t>
      </w:r>
      <w:r w:rsidRPr="00EE49E2">
        <w:rPr>
          <w:rFonts w:ascii="Calibri" w:hAnsi="Calibri"/>
        </w:rPr>
        <w:t xml:space="preserve">ubmitter’s ability to meet the </w:t>
      </w:r>
      <w:r>
        <w:rPr>
          <w:rFonts w:ascii="Calibri" w:hAnsi="Calibri"/>
        </w:rPr>
        <w:t>p</w:t>
      </w:r>
      <w:r w:rsidRPr="00EE49E2">
        <w:rPr>
          <w:rFonts w:ascii="Calibri" w:hAnsi="Calibri"/>
        </w:rPr>
        <w:t xml:space="preserve">roject’s </w:t>
      </w:r>
      <w:r>
        <w:rPr>
          <w:rFonts w:ascii="Calibri" w:hAnsi="Calibri"/>
        </w:rPr>
        <w:t>g</w:t>
      </w:r>
      <w:r w:rsidRPr="00EE49E2">
        <w:rPr>
          <w:rFonts w:ascii="Calibri" w:hAnsi="Calibri"/>
        </w:rPr>
        <w:t>oals.</w:t>
      </w:r>
      <w:bookmarkEnd w:id="6"/>
      <w:bookmarkEnd w:id="7"/>
      <w:bookmarkEnd w:id="8"/>
    </w:p>
    <w:p w:rsidR="00811B39" w:rsidRDefault="00811B39" w:rsidP="00811B39">
      <w:pPr>
        <w:spacing w:line="276" w:lineRule="auto"/>
        <w:rPr>
          <w:rFonts w:ascii="Calibri" w:hAnsi="Calibri"/>
          <w:b/>
        </w:rPr>
      </w:pPr>
      <w:r w:rsidRPr="00A87F05">
        <w:rPr>
          <w:rFonts w:ascii="Calibri" w:hAnsi="Calibri"/>
          <w:b/>
        </w:rPr>
        <w:t>Information Release:</w:t>
      </w:r>
      <w:r>
        <w:rPr>
          <w:rFonts w:ascii="Calibri" w:hAnsi="Calibri"/>
          <w:b/>
        </w:rPr>
        <w:t xml:space="preserve"> </w:t>
      </w:r>
    </w:p>
    <w:p w:rsidR="00811B39" w:rsidRPr="00A87F05" w:rsidRDefault="00811B39" w:rsidP="00811B39">
      <w:pPr>
        <w:spacing w:line="276" w:lineRule="auto"/>
        <w:rPr>
          <w:rFonts w:ascii="Calibri" w:hAnsi="Calibri"/>
          <w:b/>
        </w:rPr>
      </w:pPr>
      <w:r w:rsidRPr="00EE49E2">
        <w:t xml:space="preserve">No information regarding the contents of the </w:t>
      </w:r>
      <w:proofErr w:type="spellStart"/>
      <w:r w:rsidRPr="00EE49E2">
        <w:t>SOQs</w:t>
      </w:r>
      <w:proofErr w:type="spellEnd"/>
      <w:r>
        <w:t>/Proposals, members of the evaluation committees, deliberations by the evaluation committee or technical a</w:t>
      </w:r>
      <w:r w:rsidRPr="00EE49E2">
        <w:t>dvisors,</w:t>
      </w:r>
      <w:r>
        <w:t xml:space="preserve"> </w:t>
      </w:r>
      <w:r w:rsidRPr="00EE49E2">
        <w:t>or other information relati</w:t>
      </w:r>
      <w:r>
        <w:t>ng to the evaluation process should</w:t>
      </w:r>
      <w:r w:rsidRPr="00EE49E2">
        <w:t xml:space="preserve"> be released (except to </w:t>
      </w:r>
      <w:proofErr w:type="gramStart"/>
      <w:r w:rsidRPr="00EE49E2">
        <w:t>authorized</w:t>
      </w:r>
      <w:proofErr w:type="gramEnd"/>
      <w:r w:rsidRPr="00EE49E2">
        <w:t xml:space="preserve"> persons) or </w:t>
      </w:r>
      <w:r>
        <w:t xml:space="preserve">publicly disclosed without </w:t>
      </w:r>
      <w:proofErr w:type="spellStart"/>
      <w:r>
        <w:t>CDOT</w:t>
      </w:r>
      <w:proofErr w:type="spellEnd"/>
      <w:r>
        <w:t xml:space="preserve"> executive authorization.</w:t>
      </w:r>
      <w:r>
        <w:rPr>
          <w:rFonts w:ascii="Calibri" w:hAnsi="Calibri"/>
          <w:b/>
        </w:rPr>
        <w:t xml:space="preserve">  </w:t>
      </w:r>
      <w:r>
        <w:t>The e</w:t>
      </w:r>
      <w:r w:rsidRPr="00EE49E2">
        <w:t xml:space="preserve">valuation </w:t>
      </w:r>
      <w:r>
        <w:t>m</w:t>
      </w:r>
      <w:r w:rsidRPr="00EE49E2">
        <w:t xml:space="preserve">anual is deemed to be sensitive information and </w:t>
      </w:r>
      <w:r w:rsidRPr="00A44936">
        <w:rPr>
          <w:b/>
          <w:i/>
        </w:rPr>
        <w:t>will not</w:t>
      </w:r>
      <w:r w:rsidRPr="00EE49E2">
        <w:t xml:space="preserve"> be publicly disclosed unless otherwise provided for by statute or regulation. It is particularly important that any information designated as “proprietary o</w:t>
      </w:r>
      <w:r>
        <w:t>r confidential” by any proposer</w:t>
      </w:r>
      <w:r w:rsidRPr="00EE49E2">
        <w:t xml:space="preserve"> be carefully guarded to avoid its</w:t>
      </w:r>
      <w:r>
        <w:t xml:space="preserve"> inadvertent</w:t>
      </w:r>
      <w:r w:rsidRPr="00EE49E2">
        <w:t xml:space="preserve"> release. </w:t>
      </w:r>
    </w:p>
    <w:p w:rsidR="00A86115" w:rsidRDefault="00A86115"/>
    <w:sectPr w:rsidR="00A86115" w:rsidSect="00F979E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39" w:rsidRDefault="00811B39" w:rsidP="00811B39">
      <w:pPr>
        <w:spacing w:after="0" w:line="240" w:lineRule="auto"/>
      </w:pPr>
      <w:r>
        <w:separator/>
      </w:r>
    </w:p>
  </w:endnote>
  <w:endnote w:type="continuationSeparator" w:id="0">
    <w:p w:rsidR="00811B39" w:rsidRDefault="00811B39" w:rsidP="0081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04058"/>
      <w:docPartObj>
        <w:docPartGallery w:val="Page Numbers (Bottom of Page)"/>
        <w:docPartUnique/>
      </w:docPartObj>
    </w:sdtPr>
    <w:sdtEndPr>
      <w:rPr>
        <w:color w:val="7F7F7F" w:themeColor="background1" w:themeShade="7F"/>
        <w:spacing w:val="60"/>
      </w:rPr>
    </w:sdtEndPr>
    <w:sdtContent>
      <w:p w:rsidR="00811B39" w:rsidRDefault="00811B39" w:rsidP="00811B39">
        <w:pPr>
          <w:pStyle w:val="Footer"/>
          <w:pBdr>
            <w:top w:val="single" w:sz="4" w:space="1" w:color="D9D9D9" w:themeColor="background1" w:themeShade="D9"/>
          </w:pBdr>
          <w:tabs>
            <w:tab w:val="clear" w:pos="9360"/>
            <w:tab w:val="right" w:pos="10080"/>
          </w:tabs>
          <w:jc w:val="right"/>
        </w:pPr>
        <w:r>
          <w:rPr>
            <w:rFonts w:cstheme="minorHAnsi"/>
            <w:b/>
            <w:noProof/>
            <w:color w:val="C00000"/>
            <w:sz w:val="24"/>
            <w:szCs w:val="23"/>
          </w:rPr>
          <w:drawing>
            <wp:anchor distT="0" distB="0" distL="114300" distR="114300" simplePos="0" relativeHeight="251659264" behindDoc="1" locked="0" layoutInCell="1" allowOverlap="1" wp14:anchorId="111EB2A2" wp14:editId="61B7A36D">
              <wp:simplePos x="0" y="0"/>
              <wp:positionH relativeFrom="column">
                <wp:posOffset>-266700</wp:posOffset>
              </wp:positionH>
              <wp:positionV relativeFrom="paragraph">
                <wp:posOffset>36195</wp:posOffset>
              </wp:positionV>
              <wp:extent cx="2095500" cy="422959"/>
              <wp:effectExtent l="0" t="0" r="0" b="0"/>
              <wp:wrapNone/>
              <wp:docPr id="287" name="Picture 287"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154092" cy="43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6-</w:t>
        </w:r>
        <w:r>
          <w:fldChar w:fldCharType="begin"/>
        </w:r>
        <w:r>
          <w:instrText xml:space="preserve"> PAGE   \* MERGEFORMAT </w:instrText>
        </w:r>
        <w:r>
          <w:fldChar w:fldCharType="separate"/>
        </w:r>
        <w:r w:rsidR="00F979E4">
          <w:rPr>
            <w:noProof/>
          </w:rPr>
          <w:t>8</w:t>
        </w:r>
        <w:r>
          <w:rPr>
            <w:noProof/>
          </w:rPr>
          <w:fldChar w:fldCharType="end"/>
        </w:r>
        <w:r>
          <w:t xml:space="preserve"> | </w:t>
        </w:r>
        <w:r>
          <w:rPr>
            <w:color w:val="7F7F7F" w:themeColor="background1" w:themeShade="7F"/>
            <w:spacing w:val="60"/>
          </w:rPr>
          <w:t>Page</w:t>
        </w:r>
      </w:p>
    </w:sdtContent>
  </w:sdt>
  <w:p w:rsidR="00811B39" w:rsidRDefault="0081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39" w:rsidRDefault="00811B39" w:rsidP="00811B39">
      <w:pPr>
        <w:spacing w:after="0" w:line="240" w:lineRule="auto"/>
      </w:pPr>
      <w:r>
        <w:separator/>
      </w:r>
    </w:p>
  </w:footnote>
  <w:footnote w:type="continuationSeparator" w:id="0">
    <w:p w:rsidR="00811B39" w:rsidRDefault="00811B39" w:rsidP="00811B39">
      <w:pPr>
        <w:spacing w:after="0" w:line="240" w:lineRule="auto"/>
      </w:pPr>
      <w:r>
        <w:continuationSeparator/>
      </w:r>
    </w:p>
  </w:footnote>
  <w:footnote w:id="1">
    <w:p w:rsidR="00811B39" w:rsidRDefault="00811B39" w:rsidP="00811B39">
      <w:pPr>
        <w:pStyle w:val="FootnoteText"/>
      </w:pPr>
      <w:r>
        <w:rPr>
          <w:rStyle w:val="FootnoteReference"/>
        </w:rPr>
        <w:footnoteRef/>
      </w:r>
      <w:r w:rsidRPr="00422FEA">
        <w:t>American Association of State Highway and Transportation Officials</w:t>
      </w:r>
      <w:r>
        <w:t xml:space="preserve"> (</w:t>
      </w:r>
      <w:proofErr w:type="spellStart"/>
      <w:r>
        <w:t>AASHTO</w:t>
      </w:r>
      <w:proofErr w:type="spellEnd"/>
      <w:r>
        <w:t>)</w:t>
      </w:r>
      <w:r w:rsidRPr="00422FEA">
        <w:t xml:space="preserve">, </w:t>
      </w:r>
      <w:proofErr w:type="spellStart"/>
      <w:r w:rsidRPr="00422FEA">
        <w:rPr>
          <w:i/>
        </w:rPr>
        <w:t>AASHTO</w:t>
      </w:r>
      <w:proofErr w:type="spellEnd"/>
      <w:r w:rsidRPr="00422FEA">
        <w:rPr>
          <w:i/>
        </w:rPr>
        <w:t xml:space="preserve"> Guide for Design-Build Procurement</w:t>
      </w:r>
      <w:r w:rsidRPr="00422FEA">
        <w:t xml:space="preserve"> (W</w:t>
      </w:r>
      <w:r>
        <w:t xml:space="preserve">ashington, DC: </w:t>
      </w:r>
      <w:proofErr w:type="spellStart"/>
      <w:r>
        <w:t>AASHTO</w:t>
      </w:r>
      <w:proofErr w:type="spellEnd"/>
      <w:r>
        <w:t xml:space="preserve">, 2008), 39. </w:t>
      </w:r>
    </w:p>
    <w:p w:rsidR="00811B39" w:rsidRDefault="00811B39" w:rsidP="00811B39">
      <w:pPr>
        <w:pStyle w:val="FootnoteText"/>
      </w:pPr>
      <w:r>
        <w:rPr>
          <w:vertAlign w:val="superscript"/>
        </w:rPr>
        <w:t>7</w:t>
      </w:r>
      <w:r>
        <w:t xml:space="preserve"> Minnesota District Court, (2004). </w:t>
      </w:r>
      <w:proofErr w:type="spellStart"/>
      <w:r>
        <w:t>Lunda</w:t>
      </w:r>
      <w:proofErr w:type="spellEnd"/>
      <w:r>
        <w:t xml:space="preserve">/Shafer Joint Venture versus Minnesota Department of Transportation, </w:t>
      </w:r>
    </w:p>
    <w:p w:rsidR="00811B39" w:rsidRDefault="00811B39" w:rsidP="00811B39">
      <w:pPr>
        <w:pStyle w:val="FootnoteText"/>
      </w:pPr>
      <w:r>
        <w:t>Second Judicial District, Civil Division, Court File No. CO-03-11451, Saint Paul, Minnesota; emphasis added.</w:t>
      </w:r>
    </w:p>
    <w:p w:rsidR="00811B39" w:rsidRDefault="00811B39" w:rsidP="00811B39">
      <w:pPr>
        <w:pStyle w:val="FootnoteText"/>
      </w:pPr>
      <w:r>
        <w:rPr>
          <w:vertAlign w:val="superscript"/>
        </w:rPr>
        <w:t>8</w:t>
      </w:r>
      <w:r>
        <w:t>AASHTO,</w:t>
      </w:r>
      <w:r w:rsidRPr="000427D7">
        <w:rPr>
          <w:i/>
        </w:rPr>
        <w:t xml:space="preserve"> </w:t>
      </w:r>
      <w:r w:rsidRPr="00422FEA">
        <w:rPr>
          <w:i/>
        </w:rPr>
        <w:t>Guide for Design-Build Procurement</w:t>
      </w:r>
      <w:r>
        <w:t>, 40.</w:t>
      </w:r>
    </w:p>
  </w:footnote>
  <w:footnote w:id="2">
    <w:p w:rsidR="00811B39" w:rsidRDefault="00811B39" w:rsidP="00811B39">
      <w:pPr>
        <w:pStyle w:val="FootnoteText"/>
      </w:pPr>
      <w:r>
        <w:rPr>
          <w:rStyle w:val="FootnoteReference"/>
        </w:rPr>
        <w:t>9</w:t>
      </w:r>
      <w:r>
        <w:t xml:space="preserve"> </w:t>
      </w:r>
      <w:proofErr w:type="gramStart"/>
      <w:r>
        <w:t>Ibid.,</w:t>
      </w:r>
      <w:proofErr w:type="gramEnd"/>
      <w:r>
        <w:t xml:space="preserve"> 39–40.</w:t>
      </w:r>
    </w:p>
  </w:footnote>
  <w:footnote w:id="3">
    <w:p w:rsidR="00811B39" w:rsidRDefault="00811B39" w:rsidP="00811B39">
      <w:pPr>
        <w:pStyle w:val="FootnoteText"/>
      </w:pPr>
      <w:r>
        <w:rPr>
          <w:rStyle w:val="FootnoteReference"/>
        </w:rPr>
        <w:t>10</w:t>
      </w:r>
      <w:r>
        <w:t xml:space="preserve"> </w:t>
      </w:r>
      <w:proofErr w:type="gramStart"/>
      <w:r>
        <w:t>Ibid.,</w:t>
      </w:r>
      <w:proofErr w:type="gramEnd"/>
      <w:r>
        <w:t xml:space="preserve"> Chapter 6, “Evaluation Planning and Award.”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16934"/>
      <w:docPartObj>
        <w:docPartGallery w:val="Page Numbers (Top of Page)"/>
        <w:docPartUnique/>
      </w:docPartObj>
    </w:sdtPr>
    <w:sdtEndPr>
      <w:rPr>
        <w:color w:val="7F7F7F" w:themeColor="background1" w:themeShade="7F"/>
        <w:spacing w:val="60"/>
      </w:rPr>
    </w:sdtEndPr>
    <w:sdtContent>
      <w:p w:rsidR="00811B39" w:rsidRPr="00C82796" w:rsidRDefault="00811B39" w:rsidP="00811B39">
        <w:pPr>
          <w:pStyle w:val="Header"/>
          <w:pBdr>
            <w:bottom w:val="single" w:sz="4" w:space="1" w:color="D9D9D9" w:themeColor="background1" w:themeShade="D9"/>
          </w:pBdr>
          <w:rPr>
            <w:b/>
            <w:bCs/>
          </w:rPr>
        </w:pPr>
        <w:proofErr w:type="spellStart"/>
        <w:r>
          <w:t>CDOT</w:t>
        </w:r>
        <w:proofErr w:type="spellEnd"/>
        <w:r>
          <w:t xml:space="preserve"> Design-Build Manual Update</w:t>
        </w:r>
        <w:r>
          <w:tab/>
        </w:r>
        <w:r>
          <w:tab/>
          <w:t>September 1, 2016</w:t>
        </w:r>
      </w:p>
    </w:sdtContent>
  </w:sdt>
  <w:p w:rsidR="00811B39" w:rsidRPr="00811B39" w:rsidRDefault="00811B39" w:rsidP="0081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3D21"/>
    <w:multiLevelType w:val="multilevel"/>
    <w:tmpl w:val="80F0DDC4"/>
    <w:lvl w:ilvl="0">
      <w:start w:val="6"/>
      <w:numFmt w:val="decimal"/>
      <w:pStyle w:val="Heading1"/>
      <w:lvlText w:val="Chapter %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24A4A6A"/>
    <w:multiLevelType w:val="hybridMultilevel"/>
    <w:tmpl w:val="00448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A1CEA"/>
    <w:multiLevelType w:val="hybridMultilevel"/>
    <w:tmpl w:val="EE9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C2514"/>
    <w:multiLevelType w:val="hybridMultilevel"/>
    <w:tmpl w:val="E8A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3242A"/>
    <w:multiLevelType w:val="hybridMultilevel"/>
    <w:tmpl w:val="130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115E3"/>
    <w:multiLevelType w:val="multilevel"/>
    <w:tmpl w:val="9ACCEEEE"/>
    <w:styleLink w:val="Style1"/>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55043F1"/>
    <w:multiLevelType w:val="hybridMultilevel"/>
    <w:tmpl w:val="8C0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39"/>
    <w:rsid w:val="000538CB"/>
    <w:rsid w:val="00811B39"/>
    <w:rsid w:val="00A86115"/>
    <w:rsid w:val="00F9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DC8EF9-EE91-4DE9-BC13-EBF39818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39"/>
    <w:pPr>
      <w:spacing w:after="160" w:line="259" w:lineRule="auto"/>
    </w:pPr>
  </w:style>
  <w:style w:type="paragraph" w:styleId="Heading1">
    <w:name w:val="heading 1"/>
    <w:basedOn w:val="Normal"/>
    <w:next w:val="Normal"/>
    <w:link w:val="Heading1Char"/>
    <w:uiPriority w:val="9"/>
    <w:qFormat/>
    <w:rsid w:val="00811B39"/>
    <w:pPr>
      <w:keepNext/>
      <w:keepLines/>
      <w:numPr>
        <w:numId w:val="7"/>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11B39"/>
    <w:pPr>
      <w:keepNext/>
      <w:keepLines/>
      <w:numPr>
        <w:ilvl w:val="1"/>
        <w:numId w:val="7"/>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11B39"/>
    <w:pPr>
      <w:keepNext/>
      <w:keepLines/>
      <w:numPr>
        <w:ilvl w:val="2"/>
        <w:numId w:val="7"/>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11B39"/>
    <w:pPr>
      <w:keepNext/>
      <w:keepLines/>
      <w:numPr>
        <w:ilvl w:val="3"/>
        <w:numId w:val="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11B39"/>
    <w:pPr>
      <w:keepNext/>
      <w:keepLines/>
      <w:numPr>
        <w:ilvl w:val="4"/>
        <w:numId w:val="7"/>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11B39"/>
    <w:pPr>
      <w:keepNext/>
      <w:keepLines/>
      <w:numPr>
        <w:ilvl w:val="5"/>
        <w:numId w:val="7"/>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11B39"/>
    <w:pPr>
      <w:keepNext/>
      <w:keepLines/>
      <w:numPr>
        <w:ilvl w:val="6"/>
        <w:numId w:val="7"/>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1B39"/>
    <w:pPr>
      <w:keepNext/>
      <w:keepLines/>
      <w:numPr>
        <w:ilvl w:val="7"/>
        <w:numId w:val="7"/>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11B39"/>
    <w:pPr>
      <w:keepNext/>
      <w:keepLines/>
      <w:numPr>
        <w:ilvl w:val="8"/>
        <w:numId w:val="7"/>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538CB"/>
    <w:pPr>
      <w:numPr>
        <w:numId w:val="1"/>
      </w:numPr>
    </w:pPr>
  </w:style>
  <w:style w:type="character" w:customStyle="1" w:styleId="Heading1Char">
    <w:name w:val="Heading 1 Char"/>
    <w:basedOn w:val="DefaultParagraphFont"/>
    <w:link w:val="Heading1"/>
    <w:uiPriority w:val="9"/>
    <w:rsid w:val="00811B3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11B3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11B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11B3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11B3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11B3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811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1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11B3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11B39"/>
    <w:pPr>
      <w:ind w:left="720"/>
      <w:contextualSpacing/>
    </w:pPr>
  </w:style>
  <w:style w:type="paragraph" w:styleId="Header">
    <w:name w:val="header"/>
    <w:basedOn w:val="Normal"/>
    <w:link w:val="HeaderChar"/>
    <w:uiPriority w:val="99"/>
    <w:unhideWhenUsed/>
    <w:rsid w:val="00811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B39"/>
  </w:style>
  <w:style w:type="character" w:customStyle="1" w:styleId="ListParagraphChar">
    <w:name w:val="List Paragraph Char"/>
    <w:basedOn w:val="DefaultParagraphFont"/>
    <w:link w:val="ListParagraph"/>
    <w:uiPriority w:val="34"/>
    <w:rsid w:val="00811B39"/>
  </w:style>
  <w:style w:type="character" w:styleId="Hyperlink">
    <w:name w:val="Hyperlink"/>
    <w:basedOn w:val="DefaultParagraphFont"/>
    <w:uiPriority w:val="99"/>
    <w:unhideWhenUsed/>
    <w:rsid w:val="00811B39"/>
    <w:rPr>
      <w:color w:val="0000FF"/>
      <w:u w:val="single"/>
    </w:rPr>
  </w:style>
  <w:style w:type="paragraph" w:styleId="FootnoteText">
    <w:name w:val="footnote text"/>
    <w:basedOn w:val="Normal"/>
    <w:link w:val="FootnoteTextChar"/>
    <w:uiPriority w:val="99"/>
    <w:unhideWhenUsed/>
    <w:rsid w:val="00811B3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811B39"/>
    <w:rPr>
      <w:rFonts w:eastAsiaTheme="minorEastAsia"/>
      <w:sz w:val="20"/>
      <w:szCs w:val="20"/>
    </w:rPr>
  </w:style>
  <w:style w:type="paragraph" w:customStyle="1" w:styleId="TABLE">
    <w:name w:val="TABLE"/>
    <w:rsid w:val="00811B39"/>
    <w:pPr>
      <w:spacing w:before="40" w:after="40"/>
      <w:jc w:val="center"/>
    </w:pPr>
    <w:rPr>
      <w:rFonts w:ascii="Arial" w:eastAsia="Times New Roman" w:hAnsi="Arial" w:cs="Times New Roman"/>
      <w:noProof/>
      <w:sz w:val="20"/>
      <w:szCs w:val="20"/>
    </w:rPr>
  </w:style>
  <w:style w:type="character" w:styleId="FootnoteReference">
    <w:name w:val="footnote reference"/>
    <w:basedOn w:val="DefaultParagraphFont"/>
    <w:uiPriority w:val="99"/>
    <w:semiHidden/>
    <w:unhideWhenUsed/>
    <w:rsid w:val="00811B39"/>
    <w:rPr>
      <w:vertAlign w:val="superscript"/>
    </w:rPr>
  </w:style>
  <w:style w:type="paragraph" w:styleId="Footer">
    <w:name w:val="footer"/>
    <w:basedOn w:val="Normal"/>
    <w:link w:val="FooterChar"/>
    <w:uiPriority w:val="99"/>
    <w:unhideWhenUsed/>
    <w:rsid w:val="0081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cfr.gov/cgi-bin/text-idx?rgn=div5&amp;node=23:1.0.1.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hottopics/colorado?app=00075&amp;view=full&amp;interface=1&amp;docinfo=off&amp;searchtype=get&amp;search=C.R.S.+24-18-109"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2596</Words>
  <Characters>14799</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Evaluation of Statements of Qualifications and Proposals</vt:lpstr>
    </vt:vector>
  </TitlesOfParts>
  <Company>Wilson &amp; Company, Engineers &amp; Architects, Inc.</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Courtney R.</dc:creator>
  <cp:keywords/>
  <dc:description/>
  <cp:lastModifiedBy>Davenport, Courtney R.</cp:lastModifiedBy>
  <cp:revision>2</cp:revision>
  <dcterms:created xsi:type="dcterms:W3CDTF">2016-09-06T15:27:00Z</dcterms:created>
  <dcterms:modified xsi:type="dcterms:W3CDTF">2016-09-06T21:20:00Z</dcterms:modified>
</cp:coreProperties>
</file>